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B68846" w14:textId="39E1B1BC" w:rsidR="00C215E3" w:rsidRDefault="0028612A" w:rsidP="00B224B6">
      <w:pPr>
        <w:spacing w:after="0" w:line="276" w:lineRule="auto"/>
        <w:jc w:val="center"/>
        <w:rPr>
          <w:b/>
          <w:bCs/>
          <w:sz w:val="28"/>
          <w:szCs w:val="28"/>
          <w:lang w:val="en-US"/>
        </w:rPr>
      </w:pPr>
      <w:r>
        <w:rPr>
          <w:b/>
          <w:bCs/>
          <w:sz w:val="28"/>
          <w:szCs w:val="28"/>
          <w:lang w:val="en-US"/>
        </w:rPr>
        <w:t>PEACHLAND WATERSHED PROTECTION ALLIANCE</w:t>
      </w:r>
    </w:p>
    <w:p w14:paraId="57B1075D" w14:textId="77777777" w:rsidR="00C215E3" w:rsidRPr="0028612A" w:rsidRDefault="00C215E3" w:rsidP="00B224B6">
      <w:pPr>
        <w:spacing w:after="0" w:line="276" w:lineRule="auto"/>
        <w:jc w:val="center"/>
        <w:rPr>
          <w:b/>
          <w:bCs/>
          <w:sz w:val="24"/>
          <w:szCs w:val="24"/>
          <w:lang w:val="en-US"/>
        </w:rPr>
      </w:pPr>
    </w:p>
    <w:p w14:paraId="35A55D8E" w14:textId="1A5092DE" w:rsidR="00C215E3" w:rsidRDefault="00C215E3" w:rsidP="00B224B6">
      <w:pPr>
        <w:spacing w:after="0" w:line="276" w:lineRule="auto"/>
        <w:jc w:val="center"/>
        <w:rPr>
          <w:b/>
          <w:bCs/>
          <w:sz w:val="28"/>
          <w:szCs w:val="28"/>
          <w:lang w:val="en-US"/>
        </w:rPr>
      </w:pPr>
      <w:r w:rsidRPr="00C215E3">
        <w:rPr>
          <w:b/>
          <w:bCs/>
          <w:sz w:val="28"/>
          <w:szCs w:val="28"/>
          <w:lang w:val="en-US"/>
        </w:rPr>
        <w:t>2021 Okanagan Timber Suppl</w:t>
      </w:r>
      <w:r>
        <w:rPr>
          <w:b/>
          <w:bCs/>
          <w:sz w:val="28"/>
          <w:szCs w:val="28"/>
          <w:lang w:val="en-US"/>
        </w:rPr>
        <w:t>y</w:t>
      </w:r>
      <w:r w:rsidRPr="00C215E3">
        <w:rPr>
          <w:b/>
          <w:bCs/>
          <w:sz w:val="28"/>
          <w:szCs w:val="28"/>
          <w:lang w:val="en-US"/>
        </w:rPr>
        <w:t xml:space="preserve"> Review</w:t>
      </w:r>
      <w:r>
        <w:rPr>
          <w:b/>
          <w:bCs/>
          <w:sz w:val="28"/>
          <w:szCs w:val="28"/>
          <w:lang w:val="en-US"/>
        </w:rPr>
        <w:t xml:space="preserve"> - </w:t>
      </w:r>
      <w:r w:rsidRPr="00C215E3">
        <w:rPr>
          <w:b/>
          <w:bCs/>
          <w:sz w:val="28"/>
          <w:szCs w:val="28"/>
          <w:lang w:val="en-US"/>
        </w:rPr>
        <w:t>Comments on the Discussion Paper</w:t>
      </w:r>
    </w:p>
    <w:p w14:paraId="4CFDDC0B" w14:textId="41EF82D7" w:rsidR="00C215E3" w:rsidRPr="0028612A" w:rsidRDefault="00C215E3" w:rsidP="00B224B6">
      <w:pPr>
        <w:spacing w:after="0" w:line="276" w:lineRule="auto"/>
        <w:jc w:val="center"/>
        <w:rPr>
          <w:b/>
          <w:bCs/>
          <w:sz w:val="24"/>
          <w:szCs w:val="24"/>
          <w:lang w:val="en-US"/>
        </w:rPr>
      </w:pPr>
    </w:p>
    <w:p w14:paraId="1C7B3AB7" w14:textId="2F72F90F" w:rsidR="00C215E3" w:rsidRDefault="00C215E3" w:rsidP="00B224B6">
      <w:pPr>
        <w:spacing w:after="0" w:line="276" w:lineRule="auto"/>
        <w:jc w:val="center"/>
        <w:rPr>
          <w:b/>
          <w:bCs/>
          <w:sz w:val="28"/>
          <w:szCs w:val="28"/>
          <w:lang w:val="en-US"/>
        </w:rPr>
      </w:pPr>
      <w:r>
        <w:rPr>
          <w:b/>
          <w:bCs/>
          <w:sz w:val="28"/>
          <w:szCs w:val="28"/>
          <w:lang w:val="en-US"/>
        </w:rPr>
        <w:t>Prepared by Martin Watts, RPF</w:t>
      </w:r>
    </w:p>
    <w:p w14:paraId="68C97D21" w14:textId="14D23C2C" w:rsidR="0028612A" w:rsidRDefault="0028612A" w:rsidP="00B224B6">
      <w:pPr>
        <w:spacing w:after="0" w:line="276" w:lineRule="auto"/>
        <w:jc w:val="center"/>
        <w:rPr>
          <w:b/>
          <w:bCs/>
          <w:sz w:val="28"/>
          <w:szCs w:val="28"/>
          <w:lang w:val="en-US"/>
        </w:rPr>
      </w:pPr>
    </w:p>
    <w:p w14:paraId="605B2E03" w14:textId="73C2EE4E" w:rsidR="0028612A" w:rsidRPr="00C215E3" w:rsidRDefault="0028612A" w:rsidP="00B224B6">
      <w:pPr>
        <w:spacing w:after="0" w:line="276" w:lineRule="auto"/>
        <w:jc w:val="center"/>
        <w:rPr>
          <w:b/>
          <w:bCs/>
          <w:sz w:val="28"/>
          <w:szCs w:val="28"/>
          <w:lang w:val="en-US"/>
        </w:rPr>
      </w:pPr>
      <w:r>
        <w:rPr>
          <w:b/>
          <w:bCs/>
          <w:sz w:val="28"/>
          <w:szCs w:val="28"/>
          <w:lang w:val="en-US"/>
        </w:rPr>
        <w:t>March 18, 2021</w:t>
      </w:r>
    </w:p>
    <w:p w14:paraId="466CD8D4" w14:textId="183D141C" w:rsidR="00C215E3" w:rsidRDefault="00C215E3" w:rsidP="00C215E3">
      <w:pPr>
        <w:spacing w:after="0" w:line="276" w:lineRule="auto"/>
        <w:rPr>
          <w:sz w:val="24"/>
          <w:szCs w:val="24"/>
          <w:lang w:val="en-US"/>
        </w:rPr>
      </w:pPr>
    </w:p>
    <w:p w14:paraId="7A392DB1" w14:textId="7E9ACFFD" w:rsidR="0028612A" w:rsidRDefault="0028612A" w:rsidP="00C215E3">
      <w:pPr>
        <w:spacing w:after="0" w:line="276" w:lineRule="auto"/>
        <w:rPr>
          <w:sz w:val="24"/>
          <w:szCs w:val="24"/>
          <w:lang w:val="en-US"/>
        </w:rPr>
      </w:pPr>
    </w:p>
    <w:p w14:paraId="142A244F" w14:textId="77777777" w:rsidR="0028612A" w:rsidRDefault="0028612A" w:rsidP="00C215E3">
      <w:pPr>
        <w:spacing w:after="0" w:line="276" w:lineRule="auto"/>
        <w:rPr>
          <w:sz w:val="24"/>
          <w:szCs w:val="24"/>
          <w:lang w:val="en-US"/>
        </w:rPr>
      </w:pPr>
    </w:p>
    <w:p w14:paraId="7CA56281" w14:textId="3033BCE2" w:rsidR="00C829A7" w:rsidRDefault="00C829A7" w:rsidP="006A7B5B">
      <w:pPr>
        <w:spacing w:after="0" w:line="276" w:lineRule="auto"/>
        <w:jc w:val="center"/>
        <w:rPr>
          <w:b/>
          <w:bCs/>
          <w:sz w:val="28"/>
          <w:szCs w:val="28"/>
          <w:lang w:val="en-US"/>
        </w:rPr>
      </w:pPr>
      <w:r>
        <w:rPr>
          <w:b/>
          <w:bCs/>
          <w:sz w:val="28"/>
          <w:szCs w:val="28"/>
          <w:lang w:val="en-US"/>
        </w:rPr>
        <w:t>SUMMARY OF CONCERNS</w:t>
      </w:r>
    </w:p>
    <w:p w14:paraId="4BE1F0FC" w14:textId="35E6C6F1" w:rsidR="00C829A7" w:rsidRPr="00C829A7" w:rsidRDefault="00C829A7" w:rsidP="006A7B5B">
      <w:pPr>
        <w:spacing w:after="0" w:line="276" w:lineRule="auto"/>
        <w:jc w:val="center"/>
        <w:rPr>
          <w:sz w:val="24"/>
          <w:szCs w:val="24"/>
          <w:lang w:val="en-US"/>
        </w:rPr>
      </w:pPr>
    </w:p>
    <w:p w14:paraId="716AEBC2" w14:textId="24B7979D" w:rsidR="00C829A7" w:rsidRDefault="00C829A7" w:rsidP="00C829A7">
      <w:pPr>
        <w:pStyle w:val="ListParagraph"/>
        <w:numPr>
          <w:ilvl w:val="0"/>
          <w:numId w:val="7"/>
        </w:numPr>
        <w:spacing w:after="0" w:line="276" w:lineRule="auto"/>
        <w:rPr>
          <w:sz w:val="24"/>
          <w:szCs w:val="24"/>
          <w:lang w:val="en-US"/>
        </w:rPr>
      </w:pPr>
      <w:r>
        <w:rPr>
          <w:sz w:val="24"/>
          <w:szCs w:val="24"/>
          <w:lang w:val="en-US"/>
        </w:rPr>
        <w:t>Hydrologists have informed the Chief Forester that a minimum adjacency r</w:t>
      </w:r>
      <w:r w:rsidR="002969CE">
        <w:rPr>
          <w:sz w:val="24"/>
          <w:szCs w:val="24"/>
          <w:lang w:val="en-US"/>
        </w:rPr>
        <w:t>equirement</w:t>
      </w:r>
      <w:r>
        <w:rPr>
          <w:sz w:val="24"/>
          <w:szCs w:val="24"/>
          <w:lang w:val="en-US"/>
        </w:rPr>
        <w:t xml:space="preserve"> of five metres in height is required in community watersheds</w:t>
      </w:r>
      <w:r w:rsidR="002969CE">
        <w:rPr>
          <w:sz w:val="24"/>
          <w:szCs w:val="24"/>
          <w:lang w:val="en-US"/>
        </w:rPr>
        <w:t xml:space="preserve">. While the base case used a six- metre height, licensees are not legally required to adhere to this. We request that the Chief Forester forward the hydrologists concerns to the land-use planners (and those reviewing FRPA) and provide recommendations in the AAC determination for licensees to adopt </w:t>
      </w:r>
      <w:r w:rsidR="00A7044F">
        <w:rPr>
          <w:sz w:val="24"/>
          <w:szCs w:val="24"/>
          <w:lang w:val="en-US"/>
        </w:rPr>
        <w:t>at least a</w:t>
      </w:r>
      <w:r w:rsidR="002969CE">
        <w:rPr>
          <w:sz w:val="24"/>
          <w:szCs w:val="24"/>
          <w:lang w:val="en-US"/>
        </w:rPr>
        <w:t xml:space="preserve"> 5-metre adjacency requirement and restrict cutblock size to 40 hectares in community and fisheries sensitive watersheds.</w:t>
      </w:r>
    </w:p>
    <w:p w14:paraId="4A4DC57B" w14:textId="77777777" w:rsidR="00A7044F" w:rsidRDefault="00A7044F" w:rsidP="00A7044F">
      <w:pPr>
        <w:pStyle w:val="ListParagraph"/>
        <w:spacing w:after="0" w:line="276" w:lineRule="auto"/>
        <w:ind w:left="360"/>
        <w:rPr>
          <w:sz w:val="24"/>
          <w:szCs w:val="24"/>
          <w:lang w:val="en-US"/>
        </w:rPr>
      </w:pPr>
    </w:p>
    <w:p w14:paraId="741C78AD" w14:textId="394B506A" w:rsidR="002969CE" w:rsidRDefault="004716F5" w:rsidP="00C829A7">
      <w:pPr>
        <w:pStyle w:val="ListParagraph"/>
        <w:numPr>
          <w:ilvl w:val="0"/>
          <w:numId w:val="7"/>
        </w:numPr>
        <w:spacing w:after="0" w:line="276" w:lineRule="auto"/>
        <w:rPr>
          <w:sz w:val="24"/>
          <w:szCs w:val="24"/>
          <w:lang w:val="en-US"/>
        </w:rPr>
      </w:pPr>
      <w:r>
        <w:rPr>
          <w:sz w:val="24"/>
          <w:szCs w:val="24"/>
          <w:lang w:val="en-US"/>
        </w:rPr>
        <w:t xml:space="preserve">We are concerned that the </w:t>
      </w:r>
      <w:r>
        <w:rPr>
          <w:rFonts w:cstheme="minorHAnsi"/>
          <w:sz w:val="24"/>
          <w:szCs w:val="24"/>
          <w:lang w:val="en-US"/>
        </w:rPr>
        <w:t>±</w:t>
      </w:r>
      <w:r>
        <w:rPr>
          <w:sz w:val="24"/>
          <w:szCs w:val="24"/>
          <w:lang w:val="en-US"/>
        </w:rPr>
        <w:t xml:space="preserve">10% sensitivity analysis for existing and managed stand yield predictions does not account for </w:t>
      </w:r>
      <w:r w:rsidR="002969CE">
        <w:rPr>
          <w:sz w:val="24"/>
          <w:szCs w:val="24"/>
          <w:lang w:val="en-US"/>
        </w:rPr>
        <w:t>the uncertainty associated with the VRI, VDYP7 projections, and TASS/TIPSY projections.</w:t>
      </w:r>
      <w:r>
        <w:rPr>
          <w:sz w:val="24"/>
          <w:szCs w:val="24"/>
          <w:lang w:val="en-US"/>
        </w:rPr>
        <w:t xml:space="preserve"> We request the Chief Forester adopt a precautionary approach due to the uncertainty</w:t>
      </w:r>
      <w:r w:rsidR="00372A2B">
        <w:rPr>
          <w:sz w:val="24"/>
          <w:szCs w:val="24"/>
          <w:lang w:val="en-US"/>
        </w:rPr>
        <w:t xml:space="preserve"> associated with these.</w:t>
      </w:r>
    </w:p>
    <w:p w14:paraId="5818EB0E" w14:textId="77777777" w:rsidR="00A7044F" w:rsidRPr="00A7044F" w:rsidRDefault="00A7044F" w:rsidP="00A7044F">
      <w:pPr>
        <w:spacing w:after="0" w:line="276" w:lineRule="auto"/>
        <w:rPr>
          <w:sz w:val="24"/>
          <w:szCs w:val="24"/>
          <w:lang w:val="en-US"/>
        </w:rPr>
      </w:pPr>
    </w:p>
    <w:p w14:paraId="1DF50827" w14:textId="1C827C5D" w:rsidR="002969CE" w:rsidRDefault="004716F5" w:rsidP="00C829A7">
      <w:pPr>
        <w:pStyle w:val="ListParagraph"/>
        <w:numPr>
          <w:ilvl w:val="0"/>
          <w:numId w:val="7"/>
        </w:numPr>
        <w:spacing w:after="0" w:line="276" w:lineRule="auto"/>
        <w:rPr>
          <w:sz w:val="24"/>
          <w:szCs w:val="24"/>
          <w:lang w:val="en-US"/>
        </w:rPr>
      </w:pPr>
      <w:r>
        <w:rPr>
          <w:sz w:val="24"/>
          <w:szCs w:val="24"/>
          <w:lang w:val="en-US"/>
        </w:rPr>
        <w:t xml:space="preserve">The Chief Forester is reliant on the Mature Inventory Audit analysis and Young Stand Monitoring analysis to assess the adequacy of the data for use in the AAC determination.  We are concerned that the TSR and AAC determination processes are continuing while the VRI statistical adjustment, Mature Inventory Audit analysis and Young Stand Monitoring analysis are currently </w:t>
      </w:r>
      <w:r w:rsidR="00372A2B">
        <w:rPr>
          <w:sz w:val="24"/>
          <w:szCs w:val="24"/>
          <w:lang w:val="en-US"/>
        </w:rPr>
        <w:t>undergoing</w:t>
      </w:r>
      <w:r>
        <w:rPr>
          <w:sz w:val="24"/>
          <w:szCs w:val="24"/>
          <w:lang w:val="en-US"/>
        </w:rPr>
        <w:t xml:space="preserve"> a statistical review.</w:t>
      </w:r>
    </w:p>
    <w:p w14:paraId="5F8B5B35" w14:textId="77777777" w:rsidR="00A7044F" w:rsidRPr="00A7044F" w:rsidRDefault="00A7044F" w:rsidP="00A7044F">
      <w:pPr>
        <w:spacing w:after="0" w:line="276" w:lineRule="auto"/>
        <w:rPr>
          <w:sz w:val="24"/>
          <w:szCs w:val="24"/>
          <w:lang w:val="en-US"/>
        </w:rPr>
      </w:pPr>
    </w:p>
    <w:p w14:paraId="2A8C53CA" w14:textId="44933D5F" w:rsidR="0028612A" w:rsidRDefault="0028612A" w:rsidP="00C829A7">
      <w:pPr>
        <w:pStyle w:val="ListParagraph"/>
        <w:numPr>
          <w:ilvl w:val="0"/>
          <w:numId w:val="7"/>
        </w:numPr>
        <w:spacing w:after="0" w:line="276" w:lineRule="auto"/>
        <w:rPr>
          <w:sz w:val="24"/>
          <w:szCs w:val="24"/>
          <w:lang w:val="en-US"/>
        </w:rPr>
      </w:pPr>
      <w:r>
        <w:rPr>
          <w:sz w:val="24"/>
          <w:szCs w:val="24"/>
          <w:lang w:val="en-US"/>
        </w:rPr>
        <w:t>We request an opportunity to comment on the VRI and growth projections once the statistical reviews have been completed</w:t>
      </w:r>
      <w:r w:rsidR="00965539">
        <w:rPr>
          <w:sz w:val="24"/>
          <w:szCs w:val="24"/>
          <w:lang w:val="en-US"/>
        </w:rPr>
        <w:t xml:space="preserve"> and made public.</w:t>
      </w:r>
    </w:p>
    <w:p w14:paraId="68E7B3E5" w14:textId="77777777" w:rsidR="00A7044F" w:rsidRPr="00A7044F" w:rsidRDefault="00A7044F" w:rsidP="00A7044F">
      <w:pPr>
        <w:spacing w:after="0" w:line="276" w:lineRule="auto"/>
        <w:rPr>
          <w:sz w:val="24"/>
          <w:szCs w:val="24"/>
          <w:lang w:val="en-US"/>
        </w:rPr>
      </w:pPr>
    </w:p>
    <w:p w14:paraId="7264DC58" w14:textId="065E732C" w:rsidR="004716F5" w:rsidRDefault="004716F5" w:rsidP="00C829A7">
      <w:pPr>
        <w:pStyle w:val="ListParagraph"/>
        <w:numPr>
          <w:ilvl w:val="0"/>
          <w:numId w:val="7"/>
        </w:numPr>
        <w:spacing w:after="0" w:line="276" w:lineRule="auto"/>
        <w:rPr>
          <w:sz w:val="24"/>
          <w:szCs w:val="24"/>
          <w:lang w:val="en-US"/>
        </w:rPr>
      </w:pPr>
      <w:r>
        <w:rPr>
          <w:sz w:val="24"/>
          <w:szCs w:val="24"/>
          <w:lang w:val="en-US"/>
        </w:rPr>
        <w:t>We are concerned that losses to Armillaria root rot are not being adequately accounted for, particularly given how the losses are accounted for in the Arrow and Kamloops TSAs.</w:t>
      </w:r>
    </w:p>
    <w:p w14:paraId="7A378101" w14:textId="4356E981" w:rsidR="004716F5" w:rsidRDefault="004716F5" w:rsidP="00C829A7">
      <w:pPr>
        <w:pStyle w:val="ListParagraph"/>
        <w:numPr>
          <w:ilvl w:val="0"/>
          <w:numId w:val="7"/>
        </w:numPr>
        <w:spacing w:after="0" w:line="276" w:lineRule="auto"/>
        <w:rPr>
          <w:sz w:val="24"/>
          <w:szCs w:val="24"/>
          <w:lang w:val="en-US"/>
        </w:rPr>
      </w:pPr>
      <w:r>
        <w:rPr>
          <w:sz w:val="24"/>
          <w:szCs w:val="24"/>
          <w:lang w:val="en-US"/>
        </w:rPr>
        <w:lastRenderedPageBreak/>
        <w:t xml:space="preserve">We are concerned the </w:t>
      </w:r>
      <w:r w:rsidR="00372A2B">
        <w:rPr>
          <w:sz w:val="24"/>
          <w:szCs w:val="24"/>
          <w:lang w:val="en-US"/>
        </w:rPr>
        <w:t>b</w:t>
      </w:r>
      <w:r>
        <w:rPr>
          <w:sz w:val="24"/>
          <w:szCs w:val="24"/>
          <w:lang w:val="en-US"/>
        </w:rPr>
        <w:t>est available information is not being used for the Mat</w:t>
      </w:r>
      <w:r w:rsidR="0028612A">
        <w:rPr>
          <w:sz w:val="24"/>
          <w:szCs w:val="24"/>
          <w:lang w:val="en-US"/>
        </w:rPr>
        <w:t>u</w:t>
      </w:r>
      <w:r>
        <w:rPr>
          <w:sz w:val="24"/>
          <w:szCs w:val="24"/>
          <w:lang w:val="en-US"/>
        </w:rPr>
        <w:t>re Inventory Audit</w:t>
      </w:r>
      <w:r w:rsidR="00372A2B">
        <w:rPr>
          <w:sz w:val="24"/>
          <w:szCs w:val="24"/>
          <w:lang w:val="en-US"/>
        </w:rPr>
        <w:t xml:space="preserve"> analysis</w:t>
      </w:r>
      <w:r w:rsidR="0028612A">
        <w:rPr>
          <w:sz w:val="24"/>
          <w:szCs w:val="24"/>
          <w:lang w:val="en-US"/>
        </w:rPr>
        <w:t>.</w:t>
      </w:r>
      <w:r w:rsidR="00EB7B4B">
        <w:rPr>
          <w:sz w:val="24"/>
          <w:szCs w:val="24"/>
          <w:lang w:val="en-US"/>
        </w:rPr>
        <w:t xml:space="preserve"> An explanation as to why all of the VRI data is not being used should be provided.</w:t>
      </w:r>
    </w:p>
    <w:p w14:paraId="32A1BCBA" w14:textId="77777777" w:rsidR="00A7044F" w:rsidRDefault="00A7044F" w:rsidP="00A7044F">
      <w:pPr>
        <w:pStyle w:val="ListParagraph"/>
        <w:spacing w:after="0" w:line="276" w:lineRule="auto"/>
        <w:ind w:left="360"/>
        <w:rPr>
          <w:sz w:val="24"/>
          <w:szCs w:val="24"/>
          <w:lang w:val="en-US"/>
        </w:rPr>
      </w:pPr>
    </w:p>
    <w:p w14:paraId="0948151E" w14:textId="6D7DCA7D" w:rsidR="0028612A" w:rsidRDefault="0028612A" w:rsidP="00C829A7">
      <w:pPr>
        <w:pStyle w:val="ListParagraph"/>
        <w:numPr>
          <w:ilvl w:val="0"/>
          <w:numId w:val="7"/>
        </w:numPr>
        <w:spacing w:after="0" w:line="276" w:lineRule="auto"/>
        <w:rPr>
          <w:sz w:val="24"/>
          <w:szCs w:val="24"/>
          <w:lang w:val="en-US"/>
        </w:rPr>
      </w:pPr>
      <w:r>
        <w:rPr>
          <w:sz w:val="24"/>
          <w:szCs w:val="24"/>
          <w:lang w:val="en-US"/>
        </w:rPr>
        <w:t xml:space="preserve">We are concerned the best information available is not being used to assess managed stand yield projections and losses to forest health. We request that the Stand Development Monitoring data </w:t>
      </w:r>
      <w:r w:rsidR="00965539">
        <w:rPr>
          <w:sz w:val="24"/>
          <w:szCs w:val="24"/>
          <w:lang w:val="en-US"/>
        </w:rPr>
        <w:t xml:space="preserve">also </w:t>
      </w:r>
      <w:r>
        <w:rPr>
          <w:sz w:val="24"/>
          <w:szCs w:val="24"/>
          <w:lang w:val="en-US"/>
        </w:rPr>
        <w:t>be used.</w:t>
      </w:r>
    </w:p>
    <w:p w14:paraId="723A5266" w14:textId="77777777" w:rsidR="00A7044F" w:rsidRPr="00A7044F" w:rsidRDefault="00A7044F" w:rsidP="00A7044F">
      <w:pPr>
        <w:spacing w:after="0" w:line="276" w:lineRule="auto"/>
        <w:rPr>
          <w:sz w:val="24"/>
          <w:szCs w:val="24"/>
          <w:lang w:val="en-US"/>
        </w:rPr>
      </w:pPr>
    </w:p>
    <w:p w14:paraId="1449E4C5" w14:textId="3D5CCC20" w:rsidR="0028612A" w:rsidRPr="00C829A7" w:rsidRDefault="0028612A" w:rsidP="00C829A7">
      <w:pPr>
        <w:pStyle w:val="ListParagraph"/>
        <w:numPr>
          <w:ilvl w:val="0"/>
          <w:numId w:val="7"/>
        </w:numPr>
        <w:spacing w:after="0" w:line="276" w:lineRule="auto"/>
        <w:rPr>
          <w:sz w:val="24"/>
          <w:szCs w:val="24"/>
          <w:lang w:val="en-US"/>
        </w:rPr>
      </w:pPr>
      <w:r>
        <w:rPr>
          <w:sz w:val="24"/>
          <w:szCs w:val="24"/>
          <w:lang w:val="en-US"/>
        </w:rPr>
        <w:t>Due to the lack of realized gain trials, we feel that genetic gain should be used in a sensitivity analysis</w:t>
      </w:r>
      <w:r w:rsidR="00372A2B">
        <w:rPr>
          <w:sz w:val="24"/>
          <w:szCs w:val="24"/>
          <w:lang w:val="en-US"/>
        </w:rPr>
        <w:t>. A rationale must be provided if t</w:t>
      </w:r>
      <w:r>
        <w:rPr>
          <w:sz w:val="24"/>
          <w:szCs w:val="24"/>
          <w:lang w:val="en-US"/>
        </w:rPr>
        <w:t xml:space="preserve">he Chief Forester wants to include </w:t>
      </w:r>
      <w:r w:rsidR="00372A2B">
        <w:rPr>
          <w:sz w:val="24"/>
          <w:szCs w:val="24"/>
          <w:lang w:val="en-US"/>
        </w:rPr>
        <w:t>genetic gain</w:t>
      </w:r>
      <w:r>
        <w:rPr>
          <w:sz w:val="24"/>
          <w:szCs w:val="24"/>
          <w:lang w:val="en-US"/>
        </w:rPr>
        <w:t xml:space="preserve"> in the base case</w:t>
      </w:r>
      <w:r w:rsidR="00372A2B">
        <w:rPr>
          <w:sz w:val="24"/>
          <w:szCs w:val="24"/>
          <w:lang w:val="en-US"/>
        </w:rPr>
        <w:t>.</w:t>
      </w:r>
    </w:p>
    <w:p w14:paraId="7229D1FF" w14:textId="77777777" w:rsidR="0028612A" w:rsidRDefault="0028612A" w:rsidP="0028612A">
      <w:pPr>
        <w:jc w:val="center"/>
        <w:rPr>
          <w:sz w:val="24"/>
          <w:szCs w:val="24"/>
          <w:lang w:val="en-US"/>
        </w:rPr>
      </w:pPr>
    </w:p>
    <w:p w14:paraId="6A3A506A" w14:textId="2789F286" w:rsidR="00C215E3" w:rsidRPr="00B224B6" w:rsidRDefault="0020069C" w:rsidP="0028612A">
      <w:pPr>
        <w:spacing w:after="0"/>
        <w:jc w:val="center"/>
        <w:rPr>
          <w:b/>
          <w:bCs/>
          <w:sz w:val="28"/>
          <w:szCs w:val="28"/>
          <w:lang w:val="en-US"/>
        </w:rPr>
      </w:pPr>
      <w:r w:rsidRPr="00B224B6">
        <w:rPr>
          <w:b/>
          <w:bCs/>
          <w:sz w:val="28"/>
          <w:szCs w:val="28"/>
          <w:lang w:val="en-US"/>
        </w:rPr>
        <w:t>INTRODUCTION</w:t>
      </w:r>
    </w:p>
    <w:p w14:paraId="0D264037" w14:textId="0F7A2552" w:rsidR="00B224B6" w:rsidRDefault="00B224B6" w:rsidP="00C215E3">
      <w:pPr>
        <w:spacing w:after="0" w:line="276" w:lineRule="auto"/>
        <w:rPr>
          <w:sz w:val="24"/>
          <w:szCs w:val="24"/>
          <w:lang w:val="en-US"/>
        </w:rPr>
      </w:pPr>
    </w:p>
    <w:p w14:paraId="5BF67C20" w14:textId="75DC9D70" w:rsidR="00B224B6" w:rsidRDefault="00B224B6" w:rsidP="00C215E3">
      <w:pPr>
        <w:spacing w:after="0" w:line="276" w:lineRule="auto"/>
        <w:rPr>
          <w:sz w:val="24"/>
          <w:szCs w:val="24"/>
          <w:lang w:val="en-US"/>
        </w:rPr>
      </w:pPr>
      <w:r>
        <w:rPr>
          <w:sz w:val="24"/>
          <w:szCs w:val="24"/>
          <w:lang w:val="en-US"/>
        </w:rPr>
        <w:t xml:space="preserve">The Forest Planning and Practice Regulation offers inadequate protection to community watersheds as any measures to limit the impact of harvesting on the timing and flow of water to the waterworks </w:t>
      </w:r>
      <w:r w:rsidR="00233250">
        <w:rPr>
          <w:sz w:val="24"/>
          <w:szCs w:val="24"/>
          <w:lang w:val="en-US"/>
        </w:rPr>
        <w:t>or to</w:t>
      </w:r>
      <w:r>
        <w:rPr>
          <w:sz w:val="24"/>
          <w:szCs w:val="24"/>
          <w:lang w:val="en-US"/>
        </w:rPr>
        <w:t xml:space="preserve"> water quality cannot unduly reduce the timber supply. Our understanding of unduly is a reduction in the allowable annual cut (AAC) </w:t>
      </w:r>
      <w:r w:rsidR="006B72F6">
        <w:rPr>
          <w:sz w:val="24"/>
          <w:szCs w:val="24"/>
          <w:lang w:val="en-US"/>
        </w:rPr>
        <w:t>greater than six percent.</w:t>
      </w:r>
    </w:p>
    <w:p w14:paraId="7A712BA8" w14:textId="62A4B574" w:rsidR="006B72F6" w:rsidRDefault="006B72F6" w:rsidP="00C215E3">
      <w:pPr>
        <w:spacing w:after="0" w:line="276" w:lineRule="auto"/>
        <w:rPr>
          <w:sz w:val="24"/>
          <w:szCs w:val="24"/>
          <w:lang w:val="en-US"/>
        </w:rPr>
      </w:pPr>
    </w:p>
    <w:p w14:paraId="63D212DB" w14:textId="0FC565EA" w:rsidR="006B72F6" w:rsidRDefault="006B72F6" w:rsidP="00C215E3">
      <w:pPr>
        <w:spacing w:after="0" w:line="276" w:lineRule="auto"/>
        <w:rPr>
          <w:sz w:val="24"/>
          <w:szCs w:val="24"/>
          <w:lang w:val="en-US"/>
        </w:rPr>
      </w:pPr>
      <w:r>
        <w:rPr>
          <w:sz w:val="24"/>
          <w:szCs w:val="24"/>
          <w:lang w:val="en-US"/>
        </w:rPr>
        <w:t xml:space="preserve">The timber supply review (TSR) process increases the risk to community watersheds </w:t>
      </w:r>
      <w:r w:rsidR="004E527C">
        <w:rPr>
          <w:sz w:val="24"/>
          <w:szCs w:val="24"/>
          <w:lang w:val="en-US"/>
        </w:rPr>
        <w:t xml:space="preserve">with its emphasis on economic considerations </w:t>
      </w:r>
      <w:r w:rsidR="008E21E3">
        <w:rPr>
          <w:sz w:val="24"/>
          <w:szCs w:val="24"/>
          <w:lang w:val="en-US"/>
        </w:rPr>
        <w:t>that lead to</w:t>
      </w:r>
      <w:r w:rsidR="004E527C">
        <w:rPr>
          <w:sz w:val="24"/>
          <w:szCs w:val="24"/>
          <w:lang w:val="en-US"/>
        </w:rPr>
        <w:t xml:space="preserve"> </w:t>
      </w:r>
      <w:r>
        <w:rPr>
          <w:sz w:val="24"/>
          <w:szCs w:val="24"/>
          <w:lang w:val="en-US"/>
        </w:rPr>
        <w:t>maximizing the AA</w:t>
      </w:r>
      <w:r w:rsidR="004E527C">
        <w:rPr>
          <w:sz w:val="24"/>
          <w:szCs w:val="24"/>
          <w:lang w:val="en-US"/>
        </w:rPr>
        <w:t xml:space="preserve">C while being </w:t>
      </w:r>
      <w:r w:rsidR="000B37DE">
        <w:rPr>
          <w:sz w:val="24"/>
          <w:szCs w:val="24"/>
          <w:lang w:val="en-US"/>
        </w:rPr>
        <w:t>constrained by the current legal framework that favours harvesting over all other resource values; legally established land use objectives that usually represent only a small subset of objectives specified in outdated land use plans; and demonstrated forest management practices that favour the most economical</w:t>
      </w:r>
      <w:r w:rsidR="00233250">
        <w:rPr>
          <w:sz w:val="24"/>
          <w:szCs w:val="24"/>
          <w:lang w:val="en-US"/>
        </w:rPr>
        <w:t xml:space="preserve"> </w:t>
      </w:r>
      <w:r w:rsidR="000B37DE">
        <w:rPr>
          <w:sz w:val="24"/>
          <w:szCs w:val="24"/>
          <w:lang w:val="en-US"/>
        </w:rPr>
        <w:t>harvesting methods</w:t>
      </w:r>
      <w:r w:rsidR="00233250">
        <w:rPr>
          <w:sz w:val="24"/>
          <w:szCs w:val="24"/>
          <w:lang w:val="en-US"/>
        </w:rPr>
        <w:t xml:space="preserve"> that tend to be the most ecologically destructive, particularly in the case of salvage harvesting.</w:t>
      </w:r>
    </w:p>
    <w:p w14:paraId="22E386A5" w14:textId="0DB12A1B" w:rsidR="002864BA" w:rsidRDefault="002864BA" w:rsidP="00C215E3">
      <w:pPr>
        <w:spacing w:after="0" w:line="276" w:lineRule="auto"/>
        <w:rPr>
          <w:sz w:val="24"/>
          <w:szCs w:val="24"/>
          <w:lang w:val="en-US"/>
        </w:rPr>
      </w:pPr>
    </w:p>
    <w:p w14:paraId="153B6337" w14:textId="1EF5F63D" w:rsidR="00FD51CD" w:rsidRDefault="002864BA" w:rsidP="00C215E3">
      <w:pPr>
        <w:spacing w:after="0" w:line="276" w:lineRule="auto"/>
        <w:rPr>
          <w:sz w:val="24"/>
          <w:szCs w:val="24"/>
          <w:lang w:val="en-US"/>
        </w:rPr>
      </w:pPr>
      <w:r>
        <w:rPr>
          <w:sz w:val="24"/>
          <w:szCs w:val="24"/>
          <w:lang w:val="en-US"/>
        </w:rPr>
        <w:t>The TSR and AAC determination processes often use the term “best available information” to describe the data and information used without including an assessment of the quality</w:t>
      </w:r>
      <w:r w:rsidR="00AE306A">
        <w:rPr>
          <w:sz w:val="24"/>
          <w:szCs w:val="24"/>
          <w:lang w:val="en-US"/>
        </w:rPr>
        <w:t xml:space="preserve"> or adequacy</w:t>
      </w:r>
      <w:r>
        <w:rPr>
          <w:sz w:val="24"/>
          <w:szCs w:val="24"/>
          <w:lang w:val="en-US"/>
        </w:rPr>
        <w:t xml:space="preserve"> of the data</w:t>
      </w:r>
      <w:r w:rsidR="00AE306A">
        <w:rPr>
          <w:sz w:val="24"/>
          <w:szCs w:val="24"/>
          <w:lang w:val="en-US"/>
        </w:rPr>
        <w:t xml:space="preserve">. </w:t>
      </w:r>
      <w:r w:rsidR="00FD51CD">
        <w:rPr>
          <w:sz w:val="24"/>
          <w:szCs w:val="24"/>
          <w:lang w:val="en-US"/>
        </w:rPr>
        <w:t>As a result, the uncertainty associated with the AAC determination is not adequately addressed.</w:t>
      </w:r>
    </w:p>
    <w:p w14:paraId="5CF446F1" w14:textId="22528204" w:rsidR="00FD51CD" w:rsidRDefault="00FD51CD" w:rsidP="00C215E3">
      <w:pPr>
        <w:spacing w:after="0" w:line="276" w:lineRule="auto"/>
        <w:rPr>
          <w:sz w:val="24"/>
          <w:szCs w:val="24"/>
          <w:lang w:val="en-US"/>
        </w:rPr>
      </w:pPr>
    </w:p>
    <w:p w14:paraId="52528D99" w14:textId="11AB81F7" w:rsidR="00FD51CD" w:rsidRDefault="00572E08" w:rsidP="00C215E3">
      <w:pPr>
        <w:spacing w:after="0" w:line="276" w:lineRule="auto"/>
        <w:rPr>
          <w:sz w:val="24"/>
          <w:szCs w:val="24"/>
          <w:lang w:val="en-US"/>
        </w:rPr>
      </w:pPr>
      <w:r>
        <w:rPr>
          <w:sz w:val="24"/>
          <w:szCs w:val="24"/>
          <w:lang w:val="en-US"/>
        </w:rPr>
        <w:t>In fact, the AAC determination process uses the concept of uncertainty to exclude or ignore factors that could potentially lower the AAC, such as climate change, while at the same time ignoring the uncertainty in factors that enable an increase or simply increase the AAC, such as natural and managed stand growth estimates</w:t>
      </w:r>
      <w:r w:rsidR="00730D84">
        <w:rPr>
          <w:sz w:val="24"/>
          <w:szCs w:val="24"/>
          <w:lang w:val="en-US"/>
        </w:rPr>
        <w:t>, genetic gain estimates for select seed and the increased productivity assigned to managed stands.</w:t>
      </w:r>
    </w:p>
    <w:p w14:paraId="7BA59BFF" w14:textId="1B5E797A" w:rsidR="007E0F1E" w:rsidRDefault="007E0F1E" w:rsidP="00C215E3">
      <w:pPr>
        <w:spacing w:after="0" w:line="276" w:lineRule="auto"/>
        <w:rPr>
          <w:sz w:val="24"/>
          <w:szCs w:val="24"/>
          <w:lang w:val="en-US"/>
        </w:rPr>
      </w:pPr>
    </w:p>
    <w:p w14:paraId="27B4F715" w14:textId="77777777" w:rsidR="00BB0228" w:rsidRDefault="00FF791E" w:rsidP="00BB0228">
      <w:pPr>
        <w:autoSpaceDE w:val="0"/>
        <w:autoSpaceDN w:val="0"/>
        <w:adjustRightInd w:val="0"/>
        <w:spacing w:after="0" w:line="276" w:lineRule="auto"/>
        <w:rPr>
          <w:rFonts w:cstheme="minorHAnsi"/>
          <w:sz w:val="24"/>
          <w:szCs w:val="24"/>
          <w:lang w:val="en-US"/>
        </w:rPr>
      </w:pPr>
      <w:r>
        <w:rPr>
          <w:rFonts w:cstheme="minorHAnsi"/>
          <w:sz w:val="24"/>
          <w:szCs w:val="24"/>
          <w:lang w:val="en-US"/>
        </w:rPr>
        <w:t>F</w:t>
      </w:r>
      <w:r w:rsidR="007E0F1E" w:rsidRPr="00FF791E">
        <w:rPr>
          <w:rFonts w:cstheme="minorHAnsi"/>
          <w:sz w:val="24"/>
          <w:szCs w:val="24"/>
          <w:lang w:val="en-US"/>
        </w:rPr>
        <w:t xml:space="preserve">ederal guidelines </w:t>
      </w:r>
      <w:r w:rsidRPr="00FF791E">
        <w:rPr>
          <w:rFonts w:cstheme="minorHAnsi"/>
          <w:sz w:val="24"/>
          <w:szCs w:val="24"/>
          <w:lang w:val="en-US"/>
        </w:rPr>
        <w:t>recommend a precautionary approach be taken in the absence of full scientific certainty</w:t>
      </w:r>
      <w:r>
        <w:rPr>
          <w:rFonts w:cstheme="minorHAnsi"/>
          <w:sz w:val="24"/>
          <w:szCs w:val="24"/>
          <w:lang w:val="en-US"/>
        </w:rPr>
        <w:t>.</w:t>
      </w:r>
    </w:p>
    <w:p w14:paraId="5F5EE918" w14:textId="77777777" w:rsidR="00BB0228" w:rsidRDefault="00BB0228" w:rsidP="00BB0228">
      <w:pPr>
        <w:autoSpaceDE w:val="0"/>
        <w:autoSpaceDN w:val="0"/>
        <w:adjustRightInd w:val="0"/>
        <w:spacing w:after="0" w:line="276" w:lineRule="auto"/>
        <w:rPr>
          <w:rFonts w:cstheme="minorHAnsi"/>
          <w:sz w:val="24"/>
          <w:szCs w:val="24"/>
          <w:lang w:val="en-US"/>
        </w:rPr>
      </w:pPr>
    </w:p>
    <w:p w14:paraId="43B5CD0D" w14:textId="6477B4C5" w:rsidR="00FF791E" w:rsidRDefault="00FF791E" w:rsidP="00BB0228">
      <w:pPr>
        <w:autoSpaceDE w:val="0"/>
        <w:autoSpaceDN w:val="0"/>
        <w:adjustRightInd w:val="0"/>
        <w:spacing w:after="0" w:line="276" w:lineRule="auto"/>
        <w:rPr>
          <w:rFonts w:ascii="Calibri-Italic" w:hAnsi="Calibri-Italic" w:cs="Calibri-Italic"/>
          <w:i/>
          <w:iCs/>
          <w:sz w:val="24"/>
          <w:szCs w:val="24"/>
        </w:rPr>
      </w:pPr>
      <w:r>
        <w:rPr>
          <w:rFonts w:ascii="Calibri-Italic" w:hAnsi="Calibri-Italic" w:cs="Calibri-Italic"/>
          <w:i/>
          <w:iCs/>
          <w:sz w:val="24"/>
          <w:szCs w:val="24"/>
        </w:rPr>
        <w:t>“The application of precaution is distinctive within science-based risk management and</w:t>
      </w:r>
    </w:p>
    <w:p w14:paraId="30883C0C" w14:textId="77777777" w:rsidR="00FF791E" w:rsidRDefault="00FF791E" w:rsidP="00FF791E">
      <w:pPr>
        <w:autoSpaceDE w:val="0"/>
        <w:autoSpaceDN w:val="0"/>
        <w:adjustRightInd w:val="0"/>
        <w:spacing w:after="0" w:line="240" w:lineRule="auto"/>
        <w:ind w:left="720"/>
        <w:rPr>
          <w:rFonts w:ascii="Calibri-Italic" w:hAnsi="Calibri-Italic" w:cs="Calibri-Italic"/>
          <w:i/>
          <w:iCs/>
          <w:sz w:val="24"/>
          <w:szCs w:val="24"/>
        </w:rPr>
      </w:pPr>
      <w:r>
        <w:rPr>
          <w:rFonts w:ascii="Calibri-Italic" w:hAnsi="Calibri-Italic" w:cs="Calibri-Italic"/>
          <w:i/>
          <w:iCs/>
          <w:sz w:val="24"/>
          <w:szCs w:val="24"/>
        </w:rPr>
        <w:t>is characterized by three basic tenets: the need for a decision, a risk of serious or</w:t>
      </w:r>
    </w:p>
    <w:p w14:paraId="4252814A" w14:textId="75746768" w:rsidR="00FF791E" w:rsidRDefault="00FF791E" w:rsidP="00FF791E">
      <w:pPr>
        <w:autoSpaceDE w:val="0"/>
        <w:autoSpaceDN w:val="0"/>
        <w:adjustRightInd w:val="0"/>
        <w:spacing w:after="0" w:line="276" w:lineRule="auto"/>
        <w:ind w:left="720"/>
        <w:rPr>
          <w:rFonts w:cstheme="minorHAnsi"/>
          <w:sz w:val="24"/>
          <w:szCs w:val="24"/>
          <w:lang w:val="en-US"/>
        </w:rPr>
      </w:pPr>
      <w:r>
        <w:rPr>
          <w:rFonts w:ascii="Calibri-Italic" w:hAnsi="Calibri-Italic" w:cs="Calibri-Italic"/>
          <w:i/>
          <w:iCs/>
          <w:sz w:val="24"/>
          <w:szCs w:val="24"/>
        </w:rPr>
        <w:t>irreversible harm and a lack of full scientific certainty”</w:t>
      </w:r>
      <w:r w:rsidRPr="00FF791E">
        <w:rPr>
          <w:rFonts w:cstheme="minorHAnsi"/>
          <w:sz w:val="24"/>
          <w:szCs w:val="24"/>
          <w:lang w:val="en-US"/>
        </w:rPr>
        <w:t xml:space="preserve"> </w:t>
      </w:r>
    </w:p>
    <w:p w14:paraId="3C313BDC" w14:textId="77777777" w:rsidR="00FF791E" w:rsidRDefault="00FF791E" w:rsidP="00FF791E">
      <w:pPr>
        <w:autoSpaceDE w:val="0"/>
        <w:autoSpaceDN w:val="0"/>
        <w:adjustRightInd w:val="0"/>
        <w:spacing w:after="0" w:line="276" w:lineRule="auto"/>
        <w:rPr>
          <w:rFonts w:cstheme="minorHAnsi"/>
          <w:sz w:val="24"/>
          <w:szCs w:val="24"/>
          <w:lang w:val="en-US"/>
        </w:rPr>
      </w:pPr>
    </w:p>
    <w:p w14:paraId="69EE34C8" w14:textId="46F22D10" w:rsidR="00FF791E" w:rsidRDefault="00FF791E" w:rsidP="00DA786E">
      <w:pPr>
        <w:autoSpaceDE w:val="0"/>
        <w:autoSpaceDN w:val="0"/>
        <w:adjustRightInd w:val="0"/>
        <w:spacing w:after="0" w:line="240" w:lineRule="auto"/>
        <w:rPr>
          <w:rFonts w:ascii="Calibri" w:hAnsi="Calibri" w:cs="Calibri"/>
          <w:sz w:val="24"/>
          <w:szCs w:val="24"/>
        </w:rPr>
      </w:pPr>
      <w:r>
        <w:rPr>
          <w:rFonts w:ascii="Calibri" w:hAnsi="Calibri" w:cs="Calibri"/>
          <w:sz w:val="24"/>
          <w:szCs w:val="24"/>
        </w:rPr>
        <w:t>AAC determinations require a decision; carry a risk of serious or irreversible harm to local</w:t>
      </w:r>
      <w:r w:rsidR="00DA786E">
        <w:rPr>
          <w:rFonts w:ascii="Calibri" w:hAnsi="Calibri" w:cs="Calibri"/>
          <w:sz w:val="24"/>
          <w:szCs w:val="24"/>
        </w:rPr>
        <w:t xml:space="preserve"> </w:t>
      </w:r>
      <w:r>
        <w:rPr>
          <w:rFonts w:ascii="Calibri" w:hAnsi="Calibri" w:cs="Calibri"/>
          <w:sz w:val="24"/>
          <w:szCs w:val="24"/>
        </w:rPr>
        <w:t>economies and to ecosystems; and most certainly lack full scientific certainty.</w:t>
      </w:r>
    </w:p>
    <w:p w14:paraId="7C3895AA" w14:textId="77777777" w:rsidR="00FF791E" w:rsidRDefault="00FF791E" w:rsidP="00FF791E">
      <w:pPr>
        <w:autoSpaceDE w:val="0"/>
        <w:autoSpaceDN w:val="0"/>
        <w:adjustRightInd w:val="0"/>
        <w:spacing w:after="0" w:line="276" w:lineRule="auto"/>
        <w:rPr>
          <w:rFonts w:cstheme="minorHAnsi"/>
          <w:sz w:val="24"/>
          <w:szCs w:val="24"/>
          <w:lang w:val="en-US"/>
        </w:rPr>
      </w:pPr>
    </w:p>
    <w:p w14:paraId="12671045" w14:textId="020F9906" w:rsidR="007E0F1E" w:rsidRDefault="00FF791E" w:rsidP="00FF791E">
      <w:pPr>
        <w:autoSpaceDE w:val="0"/>
        <w:autoSpaceDN w:val="0"/>
        <w:adjustRightInd w:val="0"/>
        <w:spacing w:after="0" w:line="276" w:lineRule="auto"/>
        <w:rPr>
          <w:rFonts w:cstheme="minorHAnsi"/>
          <w:sz w:val="24"/>
          <w:szCs w:val="24"/>
        </w:rPr>
      </w:pPr>
      <w:r>
        <w:rPr>
          <w:rFonts w:cstheme="minorHAnsi"/>
          <w:sz w:val="24"/>
          <w:szCs w:val="24"/>
          <w:lang w:val="en-US"/>
        </w:rPr>
        <w:t xml:space="preserve">In contrast, </w:t>
      </w:r>
      <w:r w:rsidRPr="00FF791E">
        <w:rPr>
          <w:rFonts w:cstheme="minorHAnsi"/>
          <w:sz w:val="24"/>
          <w:szCs w:val="24"/>
          <w:lang w:val="en-US"/>
        </w:rPr>
        <w:t xml:space="preserve">the chief forester has stated </w:t>
      </w:r>
      <w:r w:rsidRPr="00FF791E">
        <w:rPr>
          <w:rFonts w:cstheme="minorHAnsi"/>
          <w:sz w:val="24"/>
          <w:szCs w:val="24"/>
        </w:rPr>
        <w:t>that “no responsible AAC determination can be made solely on the</w:t>
      </w:r>
      <w:r>
        <w:rPr>
          <w:rFonts w:cstheme="minorHAnsi"/>
          <w:sz w:val="24"/>
          <w:szCs w:val="24"/>
        </w:rPr>
        <w:t xml:space="preserve"> </w:t>
      </w:r>
      <w:r w:rsidRPr="00FF791E">
        <w:rPr>
          <w:rFonts w:cstheme="minorHAnsi"/>
          <w:sz w:val="24"/>
          <w:szCs w:val="24"/>
        </w:rPr>
        <w:t>basis of a precautionary response to uncertainty with respect to a single value” but provides no</w:t>
      </w:r>
      <w:r>
        <w:rPr>
          <w:rFonts w:cstheme="minorHAnsi"/>
          <w:sz w:val="24"/>
          <w:szCs w:val="24"/>
        </w:rPr>
        <w:t xml:space="preserve"> </w:t>
      </w:r>
      <w:r w:rsidRPr="00FF791E">
        <w:rPr>
          <w:rFonts w:cstheme="minorHAnsi"/>
          <w:sz w:val="24"/>
          <w:szCs w:val="24"/>
        </w:rPr>
        <w:t>justification for this statement.</w:t>
      </w:r>
    </w:p>
    <w:p w14:paraId="1711B4B7" w14:textId="1D4E7F2A" w:rsidR="00FF791E" w:rsidRDefault="00FF791E" w:rsidP="00FF791E">
      <w:pPr>
        <w:autoSpaceDE w:val="0"/>
        <w:autoSpaceDN w:val="0"/>
        <w:adjustRightInd w:val="0"/>
        <w:spacing w:after="0" w:line="276" w:lineRule="auto"/>
        <w:rPr>
          <w:rFonts w:cstheme="minorHAnsi"/>
          <w:sz w:val="24"/>
          <w:szCs w:val="24"/>
        </w:rPr>
      </w:pPr>
    </w:p>
    <w:p w14:paraId="677127F3" w14:textId="2677EB5F" w:rsidR="00FF791E" w:rsidRDefault="00914037" w:rsidP="00FF791E">
      <w:pPr>
        <w:autoSpaceDE w:val="0"/>
        <w:autoSpaceDN w:val="0"/>
        <w:adjustRightInd w:val="0"/>
        <w:spacing w:after="0" w:line="276" w:lineRule="auto"/>
        <w:rPr>
          <w:rFonts w:cstheme="minorHAnsi"/>
          <w:sz w:val="24"/>
          <w:szCs w:val="24"/>
          <w:lang w:val="en-US"/>
        </w:rPr>
      </w:pPr>
      <w:r>
        <w:rPr>
          <w:rFonts w:cstheme="minorHAnsi"/>
          <w:sz w:val="24"/>
          <w:szCs w:val="24"/>
          <w:lang w:val="en-US"/>
        </w:rPr>
        <w:t>Our comments on the Discussion Paper will focus on:</w:t>
      </w:r>
    </w:p>
    <w:p w14:paraId="5C0415CE" w14:textId="45FB7102" w:rsidR="00914037" w:rsidRDefault="00914037" w:rsidP="00612A99">
      <w:pPr>
        <w:pStyle w:val="ListParagraph"/>
        <w:numPr>
          <w:ilvl w:val="0"/>
          <w:numId w:val="2"/>
        </w:numPr>
        <w:autoSpaceDE w:val="0"/>
        <w:autoSpaceDN w:val="0"/>
        <w:adjustRightInd w:val="0"/>
        <w:spacing w:after="0" w:line="276" w:lineRule="auto"/>
        <w:rPr>
          <w:rFonts w:cstheme="minorHAnsi"/>
          <w:sz w:val="24"/>
          <w:szCs w:val="24"/>
          <w:lang w:val="en-US"/>
        </w:rPr>
      </w:pPr>
      <w:r>
        <w:rPr>
          <w:rFonts w:cstheme="minorHAnsi"/>
          <w:sz w:val="24"/>
          <w:szCs w:val="24"/>
          <w:lang w:val="en-US"/>
        </w:rPr>
        <w:t>Community watersheds</w:t>
      </w:r>
    </w:p>
    <w:p w14:paraId="5A2B2567" w14:textId="74529055" w:rsidR="00914037" w:rsidRDefault="00914037" w:rsidP="00612A99">
      <w:pPr>
        <w:pStyle w:val="ListParagraph"/>
        <w:numPr>
          <w:ilvl w:val="0"/>
          <w:numId w:val="2"/>
        </w:numPr>
        <w:autoSpaceDE w:val="0"/>
        <w:autoSpaceDN w:val="0"/>
        <w:adjustRightInd w:val="0"/>
        <w:spacing w:after="0" w:line="276" w:lineRule="auto"/>
        <w:rPr>
          <w:rFonts w:cstheme="minorHAnsi"/>
          <w:sz w:val="24"/>
          <w:szCs w:val="24"/>
          <w:lang w:val="en-US"/>
        </w:rPr>
      </w:pPr>
      <w:r>
        <w:rPr>
          <w:rFonts w:cstheme="minorHAnsi"/>
          <w:sz w:val="24"/>
          <w:szCs w:val="24"/>
          <w:lang w:val="en-US"/>
        </w:rPr>
        <w:t xml:space="preserve">The uncertainty with the </w:t>
      </w:r>
      <w:r w:rsidR="004C79FE">
        <w:rPr>
          <w:rFonts w:cstheme="minorHAnsi"/>
          <w:sz w:val="24"/>
          <w:szCs w:val="24"/>
          <w:lang w:val="en-US"/>
        </w:rPr>
        <w:t>Vegetation Resources I</w:t>
      </w:r>
      <w:r>
        <w:rPr>
          <w:rFonts w:cstheme="minorHAnsi"/>
          <w:sz w:val="24"/>
          <w:szCs w:val="24"/>
          <w:lang w:val="en-US"/>
        </w:rPr>
        <w:t xml:space="preserve">nventory </w:t>
      </w:r>
      <w:r w:rsidR="004C79FE">
        <w:rPr>
          <w:rFonts w:cstheme="minorHAnsi"/>
          <w:sz w:val="24"/>
          <w:szCs w:val="24"/>
          <w:lang w:val="en-US"/>
        </w:rPr>
        <w:t xml:space="preserve">(VRI) </w:t>
      </w:r>
      <w:r>
        <w:rPr>
          <w:rFonts w:cstheme="minorHAnsi"/>
          <w:sz w:val="24"/>
          <w:szCs w:val="24"/>
          <w:lang w:val="en-US"/>
        </w:rPr>
        <w:t>and existing (natural) and managed stand growth projections.</w:t>
      </w:r>
    </w:p>
    <w:p w14:paraId="7B1AEA68" w14:textId="2117C557" w:rsidR="00914037" w:rsidRDefault="00914037" w:rsidP="00914037">
      <w:pPr>
        <w:autoSpaceDE w:val="0"/>
        <w:autoSpaceDN w:val="0"/>
        <w:adjustRightInd w:val="0"/>
        <w:spacing w:after="0" w:line="276" w:lineRule="auto"/>
        <w:rPr>
          <w:rFonts w:cstheme="minorHAnsi"/>
          <w:sz w:val="24"/>
          <w:szCs w:val="24"/>
          <w:lang w:val="en-US"/>
        </w:rPr>
      </w:pPr>
    </w:p>
    <w:p w14:paraId="27FA513B" w14:textId="2284D97A" w:rsidR="00914037" w:rsidRDefault="00914037" w:rsidP="00914037">
      <w:pPr>
        <w:autoSpaceDE w:val="0"/>
        <w:autoSpaceDN w:val="0"/>
        <w:adjustRightInd w:val="0"/>
        <w:spacing w:after="0" w:line="276" w:lineRule="auto"/>
        <w:rPr>
          <w:rFonts w:cstheme="minorHAnsi"/>
          <w:sz w:val="24"/>
          <w:szCs w:val="24"/>
          <w:lang w:val="en-US"/>
        </w:rPr>
      </w:pPr>
      <w:r>
        <w:rPr>
          <w:rFonts w:cstheme="minorHAnsi"/>
          <w:sz w:val="24"/>
          <w:szCs w:val="24"/>
          <w:lang w:val="en-US"/>
        </w:rPr>
        <w:t xml:space="preserve">Given that the </w:t>
      </w:r>
      <w:r w:rsidR="004C79FE">
        <w:rPr>
          <w:rFonts w:cstheme="minorHAnsi"/>
          <w:sz w:val="24"/>
          <w:szCs w:val="24"/>
          <w:lang w:val="en-US"/>
        </w:rPr>
        <w:t>VRI</w:t>
      </w:r>
      <w:r>
        <w:rPr>
          <w:rFonts w:cstheme="minorHAnsi"/>
          <w:sz w:val="24"/>
          <w:szCs w:val="24"/>
          <w:lang w:val="en-US"/>
        </w:rPr>
        <w:t xml:space="preserve"> and growth projections form the basis of the AAC determination, the uncertainty associated with them requires a precautionary approach be taken for the AAC determination. </w:t>
      </w:r>
    </w:p>
    <w:p w14:paraId="2BA1C781" w14:textId="11BEAE90" w:rsidR="00612A99" w:rsidRDefault="00612A99" w:rsidP="00914037">
      <w:pPr>
        <w:autoSpaceDE w:val="0"/>
        <w:autoSpaceDN w:val="0"/>
        <w:adjustRightInd w:val="0"/>
        <w:spacing w:after="0" w:line="276" w:lineRule="auto"/>
        <w:rPr>
          <w:rFonts w:cstheme="minorHAnsi"/>
          <w:sz w:val="24"/>
          <w:szCs w:val="24"/>
          <w:lang w:val="en-US"/>
        </w:rPr>
      </w:pPr>
    </w:p>
    <w:p w14:paraId="6D508A29" w14:textId="5B732D18" w:rsidR="00612A99" w:rsidRPr="00914037" w:rsidRDefault="00612A99" w:rsidP="00612A99">
      <w:pPr>
        <w:autoSpaceDE w:val="0"/>
        <w:autoSpaceDN w:val="0"/>
        <w:adjustRightInd w:val="0"/>
        <w:spacing w:after="0" w:line="276" w:lineRule="auto"/>
        <w:rPr>
          <w:rFonts w:cstheme="minorHAnsi"/>
          <w:sz w:val="24"/>
          <w:szCs w:val="24"/>
          <w:lang w:val="en-US"/>
        </w:rPr>
      </w:pPr>
      <w:r>
        <w:rPr>
          <w:rFonts w:cstheme="minorHAnsi"/>
          <w:sz w:val="24"/>
          <w:szCs w:val="24"/>
          <w:lang w:val="en-US"/>
        </w:rPr>
        <w:t xml:space="preserve">The basis for the comments </w:t>
      </w:r>
      <w:r w:rsidR="00AB58BF">
        <w:rPr>
          <w:rFonts w:cstheme="minorHAnsi"/>
          <w:sz w:val="24"/>
          <w:szCs w:val="24"/>
          <w:lang w:val="en-US"/>
        </w:rPr>
        <w:t xml:space="preserve">in this submission </w:t>
      </w:r>
      <w:r w:rsidR="00DA786E">
        <w:rPr>
          <w:rFonts w:cstheme="minorHAnsi"/>
          <w:sz w:val="24"/>
          <w:szCs w:val="24"/>
          <w:lang w:val="en-US"/>
        </w:rPr>
        <w:t>is</w:t>
      </w:r>
      <w:r>
        <w:rPr>
          <w:rFonts w:cstheme="minorHAnsi"/>
          <w:sz w:val="24"/>
          <w:szCs w:val="24"/>
          <w:lang w:val="en-US"/>
        </w:rPr>
        <w:t xml:space="preserve"> documented in more detail in a report submitted to the Inventory Review Panel. It can be downloaded from this website: </w:t>
      </w:r>
      <w:hyperlink r:id="rId8" w:history="1">
        <w:r>
          <w:rPr>
            <w:rStyle w:val="Hyperlink"/>
          </w:rPr>
          <w:t>Forestry isn't sustainable, folks - Forests - Focus on Victoria</w:t>
        </w:r>
      </w:hyperlink>
    </w:p>
    <w:p w14:paraId="0D15B5E5" w14:textId="77777777" w:rsidR="00612A99" w:rsidRDefault="00612A99" w:rsidP="00914037">
      <w:pPr>
        <w:autoSpaceDE w:val="0"/>
        <w:autoSpaceDN w:val="0"/>
        <w:adjustRightInd w:val="0"/>
        <w:spacing w:after="0" w:line="276" w:lineRule="auto"/>
        <w:rPr>
          <w:rFonts w:cstheme="minorHAnsi"/>
          <w:sz w:val="24"/>
          <w:szCs w:val="24"/>
          <w:lang w:val="en-US"/>
        </w:rPr>
      </w:pPr>
    </w:p>
    <w:p w14:paraId="628F3A42" w14:textId="4CE80939" w:rsidR="00612A99" w:rsidRDefault="00612A99" w:rsidP="00914037">
      <w:pPr>
        <w:autoSpaceDE w:val="0"/>
        <w:autoSpaceDN w:val="0"/>
        <w:adjustRightInd w:val="0"/>
        <w:spacing w:after="0" w:line="276" w:lineRule="auto"/>
        <w:rPr>
          <w:rFonts w:cstheme="minorHAnsi"/>
          <w:sz w:val="24"/>
          <w:szCs w:val="24"/>
          <w:lang w:val="en-US"/>
        </w:rPr>
      </w:pPr>
      <w:r>
        <w:rPr>
          <w:rFonts w:cstheme="minorHAnsi"/>
          <w:sz w:val="24"/>
          <w:szCs w:val="24"/>
          <w:lang w:val="en-US"/>
        </w:rPr>
        <w:t>A couple of general comments about the public input process:</w:t>
      </w:r>
    </w:p>
    <w:p w14:paraId="1248DEA0" w14:textId="639401EA" w:rsidR="00914037" w:rsidRDefault="00612A99" w:rsidP="00612A99">
      <w:pPr>
        <w:pStyle w:val="ListParagraph"/>
        <w:numPr>
          <w:ilvl w:val="0"/>
          <w:numId w:val="3"/>
        </w:numPr>
        <w:autoSpaceDE w:val="0"/>
        <w:autoSpaceDN w:val="0"/>
        <w:adjustRightInd w:val="0"/>
        <w:spacing w:after="0" w:line="276" w:lineRule="auto"/>
        <w:rPr>
          <w:rFonts w:cstheme="minorHAnsi"/>
          <w:sz w:val="24"/>
          <w:szCs w:val="24"/>
          <w:lang w:val="en-US"/>
        </w:rPr>
      </w:pPr>
      <w:r w:rsidRPr="00612A99">
        <w:rPr>
          <w:rFonts w:cstheme="minorHAnsi"/>
          <w:sz w:val="24"/>
          <w:szCs w:val="24"/>
          <w:lang w:val="en-US"/>
        </w:rPr>
        <w:t>A Technical Report that provides a detailed description of the data, assumptions and simulations is produced as part of the TSR process. We requested this report to help formulate comments only to be informed it is not released until after the AAC determination has been made. In the future</w:t>
      </w:r>
      <w:r>
        <w:rPr>
          <w:rFonts w:cstheme="minorHAnsi"/>
          <w:sz w:val="24"/>
          <w:szCs w:val="24"/>
          <w:lang w:val="en-US"/>
        </w:rPr>
        <w:t xml:space="preserve">, a preliminary </w:t>
      </w:r>
      <w:r w:rsidR="00470753">
        <w:rPr>
          <w:rFonts w:cstheme="minorHAnsi"/>
          <w:sz w:val="24"/>
          <w:szCs w:val="24"/>
          <w:lang w:val="en-US"/>
        </w:rPr>
        <w:t>T</w:t>
      </w:r>
      <w:r>
        <w:rPr>
          <w:rFonts w:cstheme="minorHAnsi"/>
          <w:sz w:val="24"/>
          <w:szCs w:val="24"/>
          <w:lang w:val="en-US"/>
        </w:rPr>
        <w:t xml:space="preserve">echnical </w:t>
      </w:r>
      <w:r w:rsidR="00470753">
        <w:rPr>
          <w:rFonts w:cstheme="minorHAnsi"/>
          <w:sz w:val="24"/>
          <w:szCs w:val="24"/>
          <w:lang w:val="en-US"/>
        </w:rPr>
        <w:t>R</w:t>
      </w:r>
      <w:r>
        <w:rPr>
          <w:rFonts w:cstheme="minorHAnsi"/>
          <w:sz w:val="24"/>
          <w:szCs w:val="24"/>
          <w:lang w:val="en-US"/>
        </w:rPr>
        <w:t xml:space="preserve">eport should be provided with the </w:t>
      </w:r>
      <w:r w:rsidR="0004370B">
        <w:rPr>
          <w:rFonts w:cstheme="minorHAnsi"/>
          <w:sz w:val="24"/>
          <w:szCs w:val="24"/>
          <w:lang w:val="en-US"/>
        </w:rPr>
        <w:t>Discussion Paper.</w:t>
      </w:r>
    </w:p>
    <w:p w14:paraId="762633E3" w14:textId="032FA4EE" w:rsidR="0028612A" w:rsidRPr="0028612A" w:rsidRDefault="0004370B" w:rsidP="0028612A">
      <w:pPr>
        <w:pStyle w:val="ListParagraph"/>
        <w:numPr>
          <w:ilvl w:val="0"/>
          <w:numId w:val="3"/>
        </w:numPr>
        <w:autoSpaceDE w:val="0"/>
        <w:autoSpaceDN w:val="0"/>
        <w:adjustRightInd w:val="0"/>
        <w:spacing w:after="0" w:line="276" w:lineRule="auto"/>
        <w:rPr>
          <w:sz w:val="24"/>
          <w:szCs w:val="24"/>
          <w:lang w:val="en-US"/>
        </w:rPr>
      </w:pPr>
      <w:r w:rsidRPr="0028612A">
        <w:rPr>
          <w:rFonts w:cstheme="minorHAnsi"/>
          <w:sz w:val="24"/>
          <w:szCs w:val="24"/>
          <w:lang w:val="en-US"/>
        </w:rPr>
        <w:t>Some questions were not answered in time for this report due to limitation</w:t>
      </w:r>
      <w:r w:rsidR="00790E50" w:rsidRPr="0028612A">
        <w:rPr>
          <w:rFonts w:cstheme="minorHAnsi"/>
          <w:sz w:val="24"/>
          <w:szCs w:val="24"/>
          <w:lang w:val="en-US"/>
        </w:rPr>
        <w:t>s</w:t>
      </w:r>
      <w:r w:rsidRPr="0028612A">
        <w:rPr>
          <w:rFonts w:cstheme="minorHAnsi"/>
          <w:sz w:val="24"/>
          <w:szCs w:val="24"/>
          <w:lang w:val="en-US"/>
        </w:rPr>
        <w:t xml:space="preserve"> in FLNRO staff time. A final date for submitting questions </w:t>
      </w:r>
      <w:r w:rsidR="00177ECB" w:rsidRPr="0028612A">
        <w:rPr>
          <w:rFonts w:cstheme="minorHAnsi"/>
          <w:sz w:val="24"/>
          <w:szCs w:val="24"/>
          <w:lang w:val="en-US"/>
        </w:rPr>
        <w:t xml:space="preserve">and an estimated response time </w:t>
      </w:r>
      <w:r w:rsidRPr="0028612A">
        <w:rPr>
          <w:rFonts w:cstheme="minorHAnsi"/>
          <w:sz w:val="24"/>
          <w:szCs w:val="24"/>
          <w:lang w:val="en-US"/>
        </w:rPr>
        <w:t>should be provided</w:t>
      </w:r>
      <w:r w:rsidR="00177ECB" w:rsidRPr="0028612A">
        <w:rPr>
          <w:rFonts w:cstheme="minorHAnsi"/>
          <w:sz w:val="24"/>
          <w:szCs w:val="24"/>
          <w:lang w:val="en-US"/>
        </w:rPr>
        <w:t xml:space="preserve"> to ensure all questions are responded to.</w:t>
      </w:r>
    </w:p>
    <w:p w14:paraId="55D6E473" w14:textId="587A0B21" w:rsidR="008A09EC" w:rsidRDefault="008A09EC">
      <w:pPr>
        <w:rPr>
          <w:sz w:val="24"/>
          <w:szCs w:val="24"/>
          <w:lang w:val="en-US"/>
        </w:rPr>
      </w:pPr>
      <w:r>
        <w:rPr>
          <w:sz w:val="24"/>
          <w:szCs w:val="24"/>
          <w:lang w:val="en-US"/>
        </w:rPr>
        <w:br w:type="page"/>
      </w:r>
    </w:p>
    <w:p w14:paraId="32408BF8" w14:textId="75A92CBD" w:rsidR="00AE306A" w:rsidRPr="00A70F4C" w:rsidRDefault="00A70F4C" w:rsidP="006A7B5B">
      <w:pPr>
        <w:spacing w:after="0" w:line="276" w:lineRule="auto"/>
        <w:jc w:val="center"/>
        <w:rPr>
          <w:b/>
          <w:bCs/>
          <w:sz w:val="28"/>
          <w:szCs w:val="28"/>
          <w:lang w:val="en-US"/>
        </w:rPr>
      </w:pPr>
      <w:r w:rsidRPr="00A70F4C">
        <w:rPr>
          <w:b/>
          <w:bCs/>
          <w:sz w:val="28"/>
          <w:szCs w:val="28"/>
          <w:lang w:val="en-US"/>
        </w:rPr>
        <w:lastRenderedPageBreak/>
        <w:t>COMMUNITY WATERSHEDS</w:t>
      </w:r>
    </w:p>
    <w:p w14:paraId="0CA74410" w14:textId="07EAC3A0" w:rsidR="00DA786E" w:rsidRDefault="00DA786E" w:rsidP="00C215E3">
      <w:pPr>
        <w:spacing w:after="0" w:line="276" w:lineRule="auto"/>
        <w:rPr>
          <w:sz w:val="24"/>
          <w:szCs w:val="24"/>
          <w:lang w:val="en-US"/>
        </w:rPr>
      </w:pPr>
    </w:p>
    <w:p w14:paraId="3CE85EEB" w14:textId="77777777" w:rsidR="00DA786E" w:rsidRPr="00DA786E" w:rsidRDefault="00DA786E" w:rsidP="00DA786E">
      <w:pPr>
        <w:autoSpaceDE w:val="0"/>
        <w:autoSpaceDN w:val="0"/>
        <w:adjustRightInd w:val="0"/>
        <w:spacing w:after="0" w:line="276" w:lineRule="auto"/>
        <w:rPr>
          <w:rFonts w:cstheme="minorHAnsi"/>
          <w:sz w:val="24"/>
          <w:szCs w:val="24"/>
        </w:rPr>
      </w:pPr>
      <w:r w:rsidRPr="00DA786E">
        <w:rPr>
          <w:rFonts w:cstheme="minorHAnsi"/>
          <w:sz w:val="24"/>
          <w:szCs w:val="24"/>
        </w:rPr>
        <w:t>The discussion paper indicates the base case used a constraint in community watersheds that a</w:t>
      </w:r>
    </w:p>
    <w:p w14:paraId="398E2E5F" w14:textId="0A5F2C38" w:rsidR="00DA786E" w:rsidRPr="00DA786E" w:rsidRDefault="00DA786E" w:rsidP="00DA786E">
      <w:pPr>
        <w:autoSpaceDE w:val="0"/>
        <w:autoSpaceDN w:val="0"/>
        <w:adjustRightInd w:val="0"/>
        <w:spacing w:after="0" w:line="276" w:lineRule="auto"/>
        <w:rPr>
          <w:rFonts w:cstheme="minorHAnsi"/>
          <w:sz w:val="24"/>
          <w:szCs w:val="24"/>
        </w:rPr>
      </w:pPr>
      <w:r w:rsidRPr="00DA786E">
        <w:rPr>
          <w:rFonts w:cstheme="minorHAnsi"/>
          <w:sz w:val="24"/>
          <w:szCs w:val="24"/>
        </w:rPr>
        <w:t xml:space="preserve">maximum of 30% of the THLB can be less than </w:t>
      </w:r>
      <w:r w:rsidR="00591C7E">
        <w:rPr>
          <w:rFonts w:cstheme="minorHAnsi"/>
          <w:sz w:val="24"/>
          <w:szCs w:val="24"/>
        </w:rPr>
        <w:t>six</w:t>
      </w:r>
      <w:r w:rsidRPr="00DA786E">
        <w:rPr>
          <w:rFonts w:cstheme="minorHAnsi"/>
          <w:sz w:val="24"/>
          <w:szCs w:val="24"/>
        </w:rPr>
        <w:t xml:space="preserve"> metres in height. It was based on the</w:t>
      </w:r>
    </w:p>
    <w:p w14:paraId="1E95B38D" w14:textId="77777777" w:rsidR="00DA786E" w:rsidRPr="00DA786E" w:rsidRDefault="00DA786E" w:rsidP="00DA786E">
      <w:pPr>
        <w:autoSpaceDE w:val="0"/>
        <w:autoSpaceDN w:val="0"/>
        <w:adjustRightInd w:val="0"/>
        <w:spacing w:after="0" w:line="276" w:lineRule="auto"/>
        <w:rPr>
          <w:rFonts w:cstheme="minorHAnsi"/>
          <w:sz w:val="24"/>
          <w:szCs w:val="24"/>
        </w:rPr>
      </w:pPr>
      <w:r w:rsidRPr="00DA786E">
        <w:rPr>
          <w:rFonts w:cstheme="minorHAnsi"/>
          <w:sz w:val="24"/>
          <w:szCs w:val="24"/>
        </w:rPr>
        <w:t>hydrologists recommendations that the current legislated adjacency rules are inadequate for</w:t>
      </w:r>
    </w:p>
    <w:p w14:paraId="156B87BB" w14:textId="763CBF24" w:rsidR="00DA786E" w:rsidRDefault="00DA786E" w:rsidP="00DA786E">
      <w:pPr>
        <w:autoSpaceDE w:val="0"/>
        <w:autoSpaceDN w:val="0"/>
        <w:adjustRightInd w:val="0"/>
        <w:spacing w:after="0" w:line="276" w:lineRule="auto"/>
        <w:rPr>
          <w:rFonts w:cstheme="minorHAnsi"/>
          <w:sz w:val="24"/>
          <w:szCs w:val="24"/>
        </w:rPr>
      </w:pPr>
      <w:r w:rsidRPr="00DA786E">
        <w:rPr>
          <w:rFonts w:cstheme="minorHAnsi"/>
          <w:sz w:val="24"/>
          <w:szCs w:val="24"/>
        </w:rPr>
        <w:t xml:space="preserve">hydrological recovery. This seems mostly symbolic as licensees </w:t>
      </w:r>
      <w:r>
        <w:rPr>
          <w:rFonts w:cstheme="minorHAnsi"/>
          <w:sz w:val="24"/>
          <w:szCs w:val="24"/>
        </w:rPr>
        <w:t xml:space="preserve">must </w:t>
      </w:r>
      <w:r w:rsidRPr="00DA786E">
        <w:rPr>
          <w:rFonts w:cstheme="minorHAnsi"/>
          <w:sz w:val="24"/>
          <w:szCs w:val="24"/>
        </w:rPr>
        <w:t>only follow what is</w:t>
      </w:r>
      <w:r>
        <w:rPr>
          <w:rFonts w:cstheme="minorHAnsi"/>
          <w:sz w:val="24"/>
          <w:szCs w:val="24"/>
        </w:rPr>
        <w:t xml:space="preserve"> </w:t>
      </w:r>
      <w:r w:rsidRPr="00DA786E">
        <w:rPr>
          <w:rFonts w:cstheme="minorHAnsi"/>
          <w:sz w:val="24"/>
          <w:szCs w:val="24"/>
        </w:rPr>
        <w:t>legislated in the Forest Planning and Practices Regulation.</w:t>
      </w:r>
    </w:p>
    <w:p w14:paraId="27908AE4" w14:textId="0E143612" w:rsidR="001929D8" w:rsidRDefault="001929D8" w:rsidP="00DA786E">
      <w:pPr>
        <w:autoSpaceDE w:val="0"/>
        <w:autoSpaceDN w:val="0"/>
        <w:adjustRightInd w:val="0"/>
        <w:spacing w:after="0" w:line="276" w:lineRule="auto"/>
        <w:rPr>
          <w:rFonts w:cstheme="minorHAnsi"/>
          <w:sz w:val="24"/>
          <w:szCs w:val="24"/>
        </w:rPr>
      </w:pPr>
    </w:p>
    <w:p w14:paraId="386B1BEB" w14:textId="0B03B974" w:rsidR="001929D8" w:rsidRPr="00DA786E" w:rsidRDefault="001929D8" w:rsidP="00DA786E">
      <w:pPr>
        <w:autoSpaceDE w:val="0"/>
        <w:autoSpaceDN w:val="0"/>
        <w:adjustRightInd w:val="0"/>
        <w:spacing w:after="0" w:line="276" w:lineRule="auto"/>
        <w:rPr>
          <w:rFonts w:cstheme="minorHAnsi"/>
          <w:sz w:val="24"/>
          <w:szCs w:val="24"/>
        </w:rPr>
      </w:pPr>
      <w:r>
        <w:rPr>
          <w:rFonts w:cstheme="minorHAnsi"/>
          <w:sz w:val="24"/>
          <w:szCs w:val="24"/>
        </w:rPr>
        <w:t>The sensitivity analysis that approximated current adjacency rules resulted in a 2.6 percent reduction in the short-term AAC and a 0.7% increase in the long-term AAC. Adopting the hydrologists’ recommendations would not unduly reduce the timber supply.</w:t>
      </w:r>
    </w:p>
    <w:p w14:paraId="5943C1B8" w14:textId="77777777" w:rsidR="00DA786E" w:rsidRPr="00DA786E" w:rsidRDefault="00DA786E" w:rsidP="00DA786E">
      <w:pPr>
        <w:autoSpaceDE w:val="0"/>
        <w:autoSpaceDN w:val="0"/>
        <w:adjustRightInd w:val="0"/>
        <w:spacing w:after="0" w:line="276" w:lineRule="auto"/>
        <w:rPr>
          <w:rFonts w:cstheme="minorHAnsi"/>
          <w:sz w:val="24"/>
          <w:szCs w:val="24"/>
        </w:rPr>
      </w:pPr>
    </w:p>
    <w:p w14:paraId="5942D664" w14:textId="77777777" w:rsidR="00DA786E" w:rsidRPr="00DA786E" w:rsidRDefault="00DA786E" w:rsidP="00DA786E">
      <w:pPr>
        <w:autoSpaceDE w:val="0"/>
        <w:autoSpaceDN w:val="0"/>
        <w:adjustRightInd w:val="0"/>
        <w:spacing w:after="0" w:line="276" w:lineRule="auto"/>
        <w:rPr>
          <w:rFonts w:cstheme="minorHAnsi"/>
          <w:sz w:val="24"/>
          <w:szCs w:val="24"/>
        </w:rPr>
      </w:pPr>
      <w:r w:rsidRPr="00DA786E">
        <w:rPr>
          <w:rFonts w:cstheme="minorHAnsi"/>
          <w:sz w:val="24"/>
          <w:szCs w:val="24"/>
        </w:rPr>
        <w:t>The most current letter of expectation from the Minister to the Chief Forester specifies that for</w:t>
      </w:r>
    </w:p>
    <w:p w14:paraId="7427A2C6" w14:textId="76D47755" w:rsidR="00DA786E" w:rsidRDefault="00DA786E" w:rsidP="00DA786E">
      <w:pPr>
        <w:autoSpaceDE w:val="0"/>
        <w:autoSpaceDN w:val="0"/>
        <w:adjustRightInd w:val="0"/>
        <w:spacing w:after="0" w:line="276" w:lineRule="auto"/>
        <w:rPr>
          <w:rFonts w:cstheme="minorHAnsi"/>
          <w:sz w:val="24"/>
          <w:szCs w:val="24"/>
        </w:rPr>
      </w:pPr>
      <w:r w:rsidRPr="00DA786E">
        <w:rPr>
          <w:rFonts w:cstheme="minorHAnsi"/>
          <w:sz w:val="24"/>
          <w:szCs w:val="24"/>
        </w:rPr>
        <w:t>AAC determinations:</w:t>
      </w:r>
    </w:p>
    <w:p w14:paraId="2D49AFDA" w14:textId="3FDF364B" w:rsidR="00DA786E" w:rsidRPr="00DA786E" w:rsidRDefault="00DA786E" w:rsidP="00DA786E">
      <w:pPr>
        <w:autoSpaceDE w:val="0"/>
        <w:autoSpaceDN w:val="0"/>
        <w:adjustRightInd w:val="0"/>
        <w:spacing w:after="0" w:line="276" w:lineRule="auto"/>
        <w:ind w:left="720"/>
        <w:rPr>
          <w:rFonts w:cstheme="minorHAnsi"/>
          <w:i/>
          <w:iCs/>
          <w:sz w:val="24"/>
          <w:szCs w:val="24"/>
        </w:rPr>
      </w:pPr>
      <w:r w:rsidRPr="00DA786E">
        <w:rPr>
          <w:rFonts w:cstheme="minorHAnsi"/>
          <w:i/>
          <w:iCs/>
          <w:sz w:val="24"/>
          <w:szCs w:val="24"/>
        </w:rPr>
        <w:t xml:space="preserve">Where the cumulative effects of timber harvesting and other </w:t>
      </w:r>
      <w:proofErr w:type="gramStart"/>
      <w:r w:rsidRPr="00DA786E">
        <w:rPr>
          <w:rFonts w:cstheme="minorHAnsi"/>
          <w:i/>
          <w:iCs/>
          <w:sz w:val="24"/>
          <w:szCs w:val="24"/>
        </w:rPr>
        <w:t>land based</w:t>
      </w:r>
      <w:proofErr w:type="gramEnd"/>
      <w:r w:rsidRPr="00DA786E">
        <w:rPr>
          <w:rFonts w:cstheme="minorHAnsi"/>
          <w:i/>
          <w:iCs/>
          <w:sz w:val="24"/>
          <w:szCs w:val="24"/>
        </w:rPr>
        <w:t xml:space="preserve"> activities indicate a</w:t>
      </w:r>
      <w:r>
        <w:rPr>
          <w:rFonts w:cstheme="minorHAnsi"/>
          <w:i/>
          <w:iCs/>
          <w:sz w:val="24"/>
          <w:szCs w:val="24"/>
        </w:rPr>
        <w:t xml:space="preserve"> </w:t>
      </w:r>
      <w:r w:rsidRPr="00DA786E">
        <w:rPr>
          <w:rFonts w:cstheme="minorHAnsi"/>
          <w:i/>
          <w:iCs/>
          <w:sz w:val="24"/>
          <w:szCs w:val="24"/>
        </w:rPr>
        <w:t>risk to natural resource values, the process should identify those risks for consideration in</w:t>
      </w:r>
      <w:r>
        <w:rPr>
          <w:rFonts w:cstheme="minorHAnsi"/>
          <w:i/>
          <w:iCs/>
          <w:sz w:val="24"/>
          <w:szCs w:val="24"/>
        </w:rPr>
        <w:t xml:space="preserve"> </w:t>
      </w:r>
      <w:r w:rsidRPr="00DA786E">
        <w:rPr>
          <w:rFonts w:cstheme="minorHAnsi"/>
          <w:i/>
          <w:iCs/>
          <w:sz w:val="24"/>
          <w:szCs w:val="24"/>
        </w:rPr>
        <w:t>land-use planning.</w:t>
      </w:r>
    </w:p>
    <w:p w14:paraId="43902530" w14:textId="77777777" w:rsidR="00DA786E" w:rsidRDefault="00DA786E" w:rsidP="00DA786E">
      <w:pPr>
        <w:autoSpaceDE w:val="0"/>
        <w:autoSpaceDN w:val="0"/>
        <w:adjustRightInd w:val="0"/>
        <w:spacing w:after="0" w:line="276" w:lineRule="auto"/>
        <w:rPr>
          <w:rFonts w:cstheme="minorHAnsi"/>
          <w:sz w:val="24"/>
          <w:szCs w:val="24"/>
        </w:rPr>
      </w:pPr>
    </w:p>
    <w:p w14:paraId="0EE4C757" w14:textId="253ED9CF" w:rsidR="00591C7E" w:rsidRDefault="00591C7E" w:rsidP="00DA786E">
      <w:pPr>
        <w:autoSpaceDE w:val="0"/>
        <w:autoSpaceDN w:val="0"/>
        <w:adjustRightInd w:val="0"/>
        <w:spacing w:after="0" w:line="276" w:lineRule="auto"/>
        <w:rPr>
          <w:rFonts w:cstheme="minorHAnsi"/>
          <w:sz w:val="24"/>
          <w:szCs w:val="24"/>
        </w:rPr>
      </w:pPr>
      <w:r>
        <w:rPr>
          <w:rFonts w:cstheme="minorHAnsi"/>
          <w:sz w:val="24"/>
          <w:szCs w:val="24"/>
        </w:rPr>
        <w:t>We asked t</w:t>
      </w:r>
      <w:r w:rsidR="00A374A1">
        <w:rPr>
          <w:rFonts w:cstheme="minorHAnsi"/>
          <w:sz w:val="24"/>
          <w:szCs w:val="24"/>
        </w:rPr>
        <w:t>h</w:t>
      </w:r>
      <w:r>
        <w:rPr>
          <w:rFonts w:cstheme="minorHAnsi"/>
          <w:sz w:val="24"/>
          <w:szCs w:val="24"/>
        </w:rPr>
        <w:t>e following question, but did not receive a response:</w:t>
      </w:r>
    </w:p>
    <w:p w14:paraId="31D9A615" w14:textId="79C00FB8" w:rsidR="00DA786E" w:rsidRPr="00591C7E" w:rsidRDefault="00DA786E" w:rsidP="00591C7E">
      <w:pPr>
        <w:autoSpaceDE w:val="0"/>
        <w:autoSpaceDN w:val="0"/>
        <w:adjustRightInd w:val="0"/>
        <w:spacing w:after="0" w:line="276" w:lineRule="auto"/>
        <w:ind w:left="720"/>
        <w:rPr>
          <w:rFonts w:cstheme="minorHAnsi"/>
          <w:i/>
          <w:iCs/>
          <w:sz w:val="24"/>
          <w:szCs w:val="24"/>
        </w:rPr>
      </w:pPr>
      <w:r w:rsidRPr="00591C7E">
        <w:rPr>
          <w:rFonts w:cstheme="minorHAnsi"/>
          <w:i/>
          <w:iCs/>
          <w:sz w:val="24"/>
          <w:szCs w:val="24"/>
        </w:rPr>
        <w:t>Has the Chief Forester informed the land-use planners (and those reviewing FRPA) of the hydrologists concerns about legislated adjacency requirements in community and fisheries sensitive watersheds?</w:t>
      </w:r>
    </w:p>
    <w:p w14:paraId="61D94585" w14:textId="77777777" w:rsidR="00DA786E" w:rsidRPr="00591C7E" w:rsidRDefault="00DA786E" w:rsidP="00591C7E">
      <w:pPr>
        <w:spacing w:after="0" w:line="276" w:lineRule="auto"/>
        <w:ind w:left="720"/>
        <w:rPr>
          <w:rFonts w:cstheme="minorHAnsi"/>
          <w:i/>
          <w:iCs/>
          <w:sz w:val="24"/>
          <w:szCs w:val="24"/>
        </w:rPr>
      </w:pPr>
    </w:p>
    <w:p w14:paraId="545F923D" w14:textId="2ADFAC14" w:rsidR="00DA786E" w:rsidRPr="00591C7E" w:rsidRDefault="00DA786E" w:rsidP="00591C7E">
      <w:pPr>
        <w:spacing w:after="0" w:line="276" w:lineRule="auto"/>
        <w:ind w:left="720"/>
        <w:rPr>
          <w:rFonts w:cstheme="minorHAnsi"/>
          <w:i/>
          <w:iCs/>
          <w:sz w:val="24"/>
          <w:szCs w:val="24"/>
          <w:lang w:val="en-US"/>
        </w:rPr>
      </w:pPr>
      <w:r w:rsidRPr="00591C7E">
        <w:rPr>
          <w:rFonts w:cstheme="minorHAnsi"/>
          <w:i/>
          <w:iCs/>
          <w:sz w:val="24"/>
          <w:szCs w:val="24"/>
        </w:rPr>
        <w:t>If so, is a copy of the Chief Forester’s report to land-use planners available?</w:t>
      </w:r>
    </w:p>
    <w:p w14:paraId="70AEA3E3" w14:textId="76D22795" w:rsidR="00DA786E" w:rsidRDefault="00DA786E" w:rsidP="00C215E3">
      <w:pPr>
        <w:spacing w:after="0" w:line="276" w:lineRule="auto"/>
        <w:rPr>
          <w:sz w:val="24"/>
          <w:szCs w:val="24"/>
          <w:lang w:val="en-US"/>
        </w:rPr>
      </w:pPr>
    </w:p>
    <w:p w14:paraId="73383269" w14:textId="77777777" w:rsidR="000E2B42" w:rsidRDefault="00591C7E" w:rsidP="00C215E3">
      <w:pPr>
        <w:spacing w:after="0" w:line="276" w:lineRule="auto"/>
        <w:rPr>
          <w:sz w:val="24"/>
          <w:szCs w:val="24"/>
          <w:lang w:val="en-US"/>
        </w:rPr>
      </w:pPr>
      <w:r>
        <w:rPr>
          <w:sz w:val="24"/>
          <w:szCs w:val="24"/>
          <w:lang w:val="en-US"/>
        </w:rPr>
        <w:t>The final AAC determination should</w:t>
      </w:r>
      <w:r w:rsidR="000E2B42">
        <w:rPr>
          <w:sz w:val="24"/>
          <w:szCs w:val="24"/>
          <w:lang w:val="en-US"/>
        </w:rPr>
        <w:t xml:space="preserve"> include:</w:t>
      </w:r>
    </w:p>
    <w:p w14:paraId="77458386" w14:textId="0D49AD1C" w:rsidR="00DA786E" w:rsidRDefault="000E2B42" w:rsidP="000E2B42">
      <w:pPr>
        <w:pStyle w:val="ListParagraph"/>
        <w:numPr>
          <w:ilvl w:val="0"/>
          <w:numId w:val="4"/>
        </w:numPr>
        <w:spacing w:after="0" w:line="276" w:lineRule="auto"/>
        <w:rPr>
          <w:sz w:val="24"/>
          <w:szCs w:val="24"/>
          <w:lang w:val="en-US"/>
        </w:rPr>
      </w:pPr>
      <w:r>
        <w:rPr>
          <w:sz w:val="24"/>
          <w:szCs w:val="24"/>
          <w:lang w:val="en-US"/>
        </w:rPr>
        <w:t>A</w:t>
      </w:r>
      <w:r w:rsidR="00591C7E" w:rsidRPr="000E2B42">
        <w:rPr>
          <w:sz w:val="24"/>
          <w:szCs w:val="24"/>
          <w:lang w:val="en-US"/>
        </w:rPr>
        <w:t xml:space="preserve">t the very least, a recommendation from the Chief Forester that licensees incorporate a minimum </w:t>
      </w:r>
      <w:r w:rsidR="004716F5">
        <w:rPr>
          <w:sz w:val="24"/>
          <w:szCs w:val="24"/>
          <w:lang w:val="en-US"/>
        </w:rPr>
        <w:t>five</w:t>
      </w:r>
      <w:r w:rsidR="00591C7E" w:rsidRPr="000E2B42">
        <w:rPr>
          <w:sz w:val="24"/>
          <w:szCs w:val="24"/>
          <w:lang w:val="en-US"/>
        </w:rPr>
        <w:t xml:space="preserve"> metre adjacency height in community and fisheries sensitive watersheds. At best, this recommendation could be extended to all other watersheds.</w:t>
      </w:r>
    </w:p>
    <w:p w14:paraId="7EB7533F" w14:textId="3FC2C50D" w:rsidR="000E2B42" w:rsidRDefault="000E2B42" w:rsidP="000E2B42">
      <w:pPr>
        <w:pStyle w:val="ListParagraph"/>
        <w:numPr>
          <w:ilvl w:val="0"/>
          <w:numId w:val="4"/>
        </w:numPr>
        <w:spacing w:after="0" w:line="276" w:lineRule="auto"/>
        <w:rPr>
          <w:sz w:val="24"/>
          <w:szCs w:val="24"/>
          <w:lang w:val="en-US"/>
        </w:rPr>
      </w:pPr>
      <w:r>
        <w:rPr>
          <w:sz w:val="24"/>
          <w:szCs w:val="24"/>
          <w:lang w:val="en-US"/>
        </w:rPr>
        <w:t>A recommendation that openings be restricted to a maximum size of 40 hectares in community and fisheries sensitive watersheds, including salvage harvests and natural-disturbance-based management regimes.</w:t>
      </w:r>
    </w:p>
    <w:p w14:paraId="6997A4E3" w14:textId="32AC8605" w:rsidR="008A09EC" w:rsidRPr="00A54B4C" w:rsidRDefault="00754BF1" w:rsidP="00A54B4C">
      <w:pPr>
        <w:pStyle w:val="ListParagraph"/>
        <w:numPr>
          <w:ilvl w:val="0"/>
          <w:numId w:val="4"/>
        </w:numPr>
        <w:spacing w:after="0" w:line="276" w:lineRule="auto"/>
        <w:rPr>
          <w:sz w:val="24"/>
          <w:szCs w:val="24"/>
          <w:lang w:val="en-US"/>
        </w:rPr>
      </w:pPr>
      <w:r w:rsidRPr="00A54B4C">
        <w:rPr>
          <w:sz w:val="24"/>
          <w:szCs w:val="24"/>
          <w:lang w:val="en-US"/>
        </w:rPr>
        <w:t>An appendix containing t</w:t>
      </w:r>
      <w:r w:rsidR="00591C7E" w:rsidRPr="00A54B4C">
        <w:rPr>
          <w:sz w:val="24"/>
          <w:szCs w:val="24"/>
          <w:lang w:val="en-US"/>
        </w:rPr>
        <w:t xml:space="preserve">he document </w:t>
      </w:r>
      <w:r w:rsidRPr="00A54B4C">
        <w:rPr>
          <w:sz w:val="24"/>
          <w:szCs w:val="24"/>
          <w:lang w:val="en-US"/>
        </w:rPr>
        <w:t xml:space="preserve">submitted by the Chief Forester to land-use planners (and those reviewing FRPA) </w:t>
      </w:r>
      <w:r w:rsidR="00591C7E" w:rsidRPr="00A54B4C">
        <w:rPr>
          <w:sz w:val="24"/>
          <w:szCs w:val="24"/>
          <w:lang w:val="en-US"/>
        </w:rPr>
        <w:t xml:space="preserve">describing the hydrologists’ concerns </w:t>
      </w:r>
      <w:r w:rsidRPr="00A54B4C">
        <w:rPr>
          <w:sz w:val="24"/>
          <w:szCs w:val="24"/>
          <w:lang w:val="en-US"/>
        </w:rPr>
        <w:t>about hydrological recovery and adjacency rules</w:t>
      </w:r>
      <w:r w:rsidR="00A374A1">
        <w:rPr>
          <w:sz w:val="24"/>
          <w:szCs w:val="24"/>
          <w:lang w:val="en-US"/>
        </w:rPr>
        <w:t xml:space="preserve">. It should be noted </w:t>
      </w:r>
      <w:r w:rsidR="001929D8" w:rsidRPr="00A54B4C">
        <w:rPr>
          <w:sz w:val="24"/>
          <w:szCs w:val="24"/>
          <w:lang w:val="en-US"/>
        </w:rPr>
        <w:t xml:space="preserve">that </w:t>
      </w:r>
      <w:r w:rsidR="00A374A1">
        <w:rPr>
          <w:sz w:val="24"/>
          <w:szCs w:val="24"/>
          <w:lang w:val="en-US"/>
        </w:rPr>
        <w:t xml:space="preserve">based on the sensitivity analysis, </w:t>
      </w:r>
      <w:r w:rsidR="001929D8" w:rsidRPr="00A54B4C">
        <w:rPr>
          <w:sz w:val="24"/>
          <w:szCs w:val="24"/>
          <w:lang w:val="en-US"/>
        </w:rPr>
        <w:t>adopting the hydrologists’ recommendations would not unduly reduce the timber supply.</w:t>
      </w:r>
      <w:r w:rsidR="008A09EC" w:rsidRPr="00A54B4C">
        <w:rPr>
          <w:sz w:val="24"/>
          <w:szCs w:val="24"/>
          <w:lang w:val="en-US"/>
        </w:rPr>
        <w:br w:type="page"/>
      </w:r>
    </w:p>
    <w:p w14:paraId="331D7593" w14:textId="7DE231A6" w:rsidR="00C215E3" w:rsidRPr="00BB0228" w:rsidRDefault="00C57281" w:rsidP="0077626D">
      <w:pPr>
        <w:spacing w:after="0"/>
        <w:jc w:val="center"/>
        <w:rPr>
          <w:sz w:val="24"/>
          <w:szCs w:val="24"/>
          <w:lang w:val="en-US"/>
        </w:rPr>
      </w:pPr>
      <w:r w:rsidRPr="00C57281">
        <w:rPr>
          <w:b/>
          <w:bCs/>
          <w:sz w:val="28"/>
          <w:szCs w:val="28"/>
          <w:lang w:val="en-US"/>
        </w:rPr>
        <w:lastRenderedPageBreak/>
        <w:t xml:space="preserve">UNCERTAINTY </w:t>
      </w:r>
      <w:r w:rsidR="008B5DBC">
        <w:rPr>
          <w:b/>
          <w:bCs/>
          <w:sz w:val="28"/>
          <w:szCs w:val="28"/>
          <w:lang w:val="en-US"/>
        </w:rPr>
        <w:t>IN THE</w:t>
      </w:r>
      <w:r w:rsidRPr="00C57281">
        <w:rPr>
          <w:b/>
          <w:bCs/>
          <w:sz w:val="28"/>
          <w:szCs w:val="28"/>
          <w:lang w:val="en-US"/>
        </w:rPr>
        <w:t xml:space="preserve"> </w:t>
      </w:r>
      <w:r w:rsidR="004C79FE">
        <w:rPr>
          <w:b/>
          <w:bCs/>
          <w:sz w:val="28"/>
          <w:szCs w:val="28"/>
          <w:lang w:val="en-US"/>
        </w:rPr>
        <w:t>VRI</w:t>
      </w:r>
      <w:r w:rsidRPr="00C57281">
        <w:rPr>
          <w:b/>
          <w:bCs/>
          <w:sz w:val="28"/>
          <w:szCs w:val="28"/>
          <w:lang w:val="en-US"/>
        </w:rPr>
        <w:t xml:space="preserve"> AND GROWTH PROJECTIONS</w:t>
      </w:r>
    </w:p>
    <w:p w14:paraId="5D3F4A92" w14:textId="77777777" w:rsidR="004C79FE" w:rsidRDefault="004C79FE" w:rsidP="00C215E3">
      <w:pPr>
        <w:spacing w:after="0" w:line="276" w:lineRule="auto"/>
        <w:rPr>
          <w:sz w:val="24"/>
          <w:szCs w:val="24"/>
          <w:lang w:val="en-US"/>
        </w:rPr>
      </w:pPr>
    </w:p>
    <w:p w14:paraId="6DFD54BF" w14:textId="77777777" w:rsidR="004C3E24" w:rsidRDefault="004C79FE" w:rsidP="00C215E3">
      <w:pPr>
        <w:spacing w:after="0" w:line="276" w:lineRule="auto"/>
        <w:rPr>
          <w:sz w:val="24"/>
          <w:szCs w:val="24"/>
          <w:lang w:val="en-US"/>
        </w:rPr>
      </w:pPr>
      <w:r>
        <w:rPr>
          <w:sz w:val="24"/>
          <w:szCs w:val="24"/>
          <w:lang w:val="en-US"/>
        </w:rPr>
        <w:t xml:space="preserve">We are concerned that the uncertainty associated with the </w:t>
      </w:r>
      <w:r w:rsidR="00B35714">
        <w:rPr>
          <w:sz w:val="24"/>
          <w:szCs w:val="24"/>
          <w:lang w:val="en-US"/>
        </w:rPr>
        <w:t>VRI and growth projections is not being properly accounted for in the TSR and AAC determination processes</w:t>
      </w:r>
      <w:r w:rsidR="00C377C2">
        <w:rPr>
          <w:sz w:val="24"/>
          <w:szCs w:val="24"/>
          <w:lang w:val="en-US"/>
        </w:rPr>
        <w:t xml:space="preserve"> with a sensitivity analysis of </w:t>
      </w:r>
      <w:r w:rsidR="00C377C2">
        <w:rPr>
          <w:rFonts w:cstheme="minorHAnsi"/>
          <w:sz w:val="24"/>
          <w:szCs w:val="24"/>
          <w:lang w:val="en-US"/>
        </w:rPr>
        <w:t>±</w:t>
      </w:r>
      <w:r w:rsidR="00C377C2">
        <w:rPr>
          <w:sz w:val="24"/>
          <w:szCs w:val="24"/>
          <w:lang w:val="en-US"/>
        </w:rPr>
        <w:t xml:space="preserve"> 10% </w:t>
      </w:r>
      <w:r w:rsidR="004C3E24">
        <w:rPr>
          <w:sz w:val="24"/>
          <w:szCs w:val="24"/>
          <w:lang w:val="en-US"/>
        </w:rPr>
        <w:t>for existing and managed stand yields</w:t>
      </w:r>
      <w:r w:rsidR="00B35714">
        <w:rPr>
          <w:sz w:val="24"/>
          <w:szCs w:val="24"/>
          <w:lang w:val="en-US"/>
        </w:rPr>
        <w:t xml:space="preserve">. </w:t>
      </w:r>
    </w:p>
    <w:p w14:paraId="32CD6BF3" w14:textId="77777777" w:rsidR="004C3E24" w:rsidRDefault="004C3E24" w:rsidP="00C215E3">
      <w:pPr>
        <w:spacing w:after="0" w:line="276" w:lineRule="auto"/>
        <w:rPr>
          <w:sz w:val="24"/>
          <w:szCs w:val="24"/>
          <w:lang w:val="en-US"/>
        </w:rPr>
      </w:pPr>
    </w:p>
    <w:p w14:paraId="7B1A80DC" w14:textId="16D3F106" w:rsidR="008B5DBC" w:rsidRDefault="00B35714" w:rsidP="00C215E3">
      <w:pPr>
        <w:spacing w:after="0" w:line="276" w:lineRule="auto"/>
        <w:rPr>
          <w:sz w:val="24"/>
          <w:szCs w:val="24"/>
          <w:lang w:val="en-US"/>
        </w:rPr>
      </w:pPr>
      <w:r>
        <w:rPr>
          <w:sz w:val="24"/>
          <w:szCs w:val="24"/>
          <w:lang w:val="en-US"/>
        </w:rPr>
        <w:t>A recent review of growth and yield modelling systems in British Columbia (B.C.) indicates we are not alone in our concerns</w:t>
      </w:r>
      <w:r w:rsidR="004C3E24">
        <w:rPr>
          <w:sz w:val="24"/>
          <w:szCs w:val="24"/>
          <w:lang w:val="en-US"/>
        </w:rPr>
        <w:t xml:space="preserve"> about growth models</w:t>
      </w:r>
      <w:r>
        <w:rPr>
          <w:sz w:val="24"/>
          <w:szCs w:val="24"/>
          <w:lang w:val="en-US"/>
        </w:rPr>
        <w:t>. A couple of extracts from the report:</w:t>
      </w:r>
    </w:p>
    <w:p w14:paraId="35A62B18" w14:textId="42D01142" w:rsidR="00BB0228" w:rsidRDefault="00BB0228" w:rsidP="00C215E3">
      <w:pPr>
        <w:spacing w:after="0" w:line="276" w:lineRule="auto"/>
        <w:rPr>
          <w:sz w:val="24"/>
          <w:szCs w:val="24"/>
          <w:lang w:val="en-US"/>
        </w:rPr>
      </w:pPr>
    </w:p>
    <w:p w14:paraId="13C04197" w14:textId="22C8E8FE" w:rsidR="00BB0228" w:rsidRPr="00B35714" w:rsidRDefault="00BB0228" w:rsidP="00B35714">
      <w:pPr>
        <w:spacing w:after="0" w:line="276" w:lineRule="auto"/>
        <w:ind w:left="720"/>
        <w:rPr>
          <w:i/>
          <w:iCs/>
          <w:sz w:val="24"/>
          <w:szCs w:val="24"/>
        </w:rPr>
      </w:pPr>
      <w:r w:rsidRPr="00B35714">
        <w:rPr>
          <w:i/>
          <w:iCs/>
          <w:sz w:val="24"/>
          <w:szCs w:val="24"/>
        </w:rPr>
        <w:t>There are needs not currently met with the BC GY models. The main GY gaps identified by users were i) yield curves for complex stands including stands with mixtures of species, ages, vertical layers, and horizontal arrangements; ii) improved modelling of growth response to silvicultural treatments including genetic gain, fertilization, and patch harvesting; and iii) growth following disturbance agents including fire, insects</w:t>
      </w:r>
      <w:r w:rsidR="00B35714">
        <w:rPr>
          <w:i/>
          <w:iCs/>
          <w:sz w:val="24"/>
          <w:szCs w:val="24"/>
        </w:rPr>
        <w:t>,</w:t>
      </w:r>
      <w:r w:rsidRPr="00B35714">
        <w:rPr>
          <w:i/>
          <w:iCs/>
          <w:sz w:val="24"/>
          <w:szCs w:val="24"/>
        </w:rPr>
        <w:t xml:space="preserve"> and disease.</w:t>
      </w:r>
    </w:p>
    <w:p w14:paraId="51A10A95" w14:textId="77777777" w:rsidR="00BB0228" w:rsidRDefault="00BB0228" w:rsidP="00BB0228">
      <w:pPr>
        <w:spacing w:after="0" w:line="276" w:lineRule="auto"/>
        <w:rPr>
          <w:sz w:val="24"/>
          <w:szCs w:val="24"/>
          <w:lang w:val="en-US"/>
        </w:rPr>
      </w:pPr>
    </w:p>
    <w:p w14:paraId="2A1FCFF8" w14:textId="77777777" w:rsidR="00BB0228" w:rsidRPr="00B35714" w:rsidRDefault="00BB0228" w:rsidP="00B35714">
      <w:pPr>
        <w:spacing w:after="0" w:line="276" w:lineRule="auto"/>
        <w:ind w:left="720"/>
        <w:rPr>
          <w:i/>
          <w:iCs/>
          <w:sz w:val="24"/>
          <w:szCs w:val="24"/>
        </w:rPr>
      </w:pPr>
      <w:r w:rsidRPr="00B35714">
        <w:rPr>
          <w:i/>
          <w:iCs/>
          <w:sz w:val="24"/>
          <w:szCs w:val="24"/>
        </w:rPr>
        <w:t>Some of the people surveyed suggested all MFLNRO&amp;RD staff should have some level of training and competency with GY models. Some level of biometrics training should be required of FAIB staff. Specifically, staff need training in the development and use of TIPSY and VDYP. FAIB should have a biometrician who provides advice.</w:t>
      </w:r>
    </w:p>
    <w:p w14:paraId="4332ED23" w14:textId="1B684C98" w:rsidR="00BB0228" w:rsidRDefault="00BB0228" w:rsidP="00C215E3">
      <w:pPr>
        <w:spacing w:after="0" w:line="276" w:lineRule="auto"/>
        <w:rPr>
          <w:sz w:val="24"/>
          <w:szCs w:val="24"/>
          <w:lang w:val="en-US"/>
        </w:rPr>
      </w:pPr>
    </w:p>
    <w:p w14:paraId="35724005" w14:textId="0DC15672" w:rsidR="006A7B5B" w:rsidRPr="006A7B5B" w:rsidRDefault="006A7B5B" w:rsidP="0028612A">
      <w:pPr>
        <w:spacing w:after="0" w:line="276" w:lineRule="auto"/>
        <w:rPr>
          <w:b/>
          <w:bCs/>
          <w:sz w:val="28"/>
          <w:szCs w:val="28"/>
          <w:lang w:val="en-US"/>
        </w:rPr>
      </w:pPr>
      <w:r w:rsidRPr="006A7B5B">
        <w:rPr>
          <w:b/>
          <w:bCs/>
          <w:sz w:val="28"/>
          <w:szCs w:val="28"/>
          <w:lang w:val="en-US"/>
        </w:rPr>
        <w:t>VDYP7</w:t>
      </w:r>
    </w:p>
    <w:p w14:paraId="4D1E1CEB" w14:textId="4BDC6297" w:rsidR="006A7B5B" w:rsidRDefault="006A7B5B" w:rsidP="00C215E3">
      <w:pPr>
        <w:spacing w:after="0" w:line="276" w:lineRule="auto"/>
        <w:rPr>
          <w:sz w:val="24"/>
          <w:szCs w:val="24"/>
          <w:lang w:val="en-US"/>
        </w:rPr>
      </w:pPr>
    </w:p>
    <w:p w14:paraId="4983712D" w14:textId="07922251" w:rsidR="00EB0500" w:rsidRDefault="00EB0500" w:rsidP="00EB0500">
      <w:pPr>
        <w:spacing w:after="0" w:line="276" w:lineRule="auto"/>
        <w:rPr>
          <w:sz w:val="24"/>
          <w:szCs w:val="24"/>
          <w:lang w:val="en-US"/>
        </w:rPr>
      </w:pPr>
      <w:r>
        <w:rPr>
          <w:sz w:val="24"/>
          <w:szCs w:val="24"/>
          <w:lang w:val="en-US"/>
        </w:rPr>
        <w:t xml:space="preserve">The Variable Density Yield Projection (VDYP7) model, using photo-interpreted values as input, is used to assign volume to existing stands in the VRI. The assignment of volumes may be enhanced or replaced by LiDAR in the future, but this is not the case for the current Okanagan TSA AAC determination. VDYP7 is also used to project </w:t>
      </w:r>
      <w:r w:rsidR="005B549C">
        <w:rPr>
          <w:sz w:val="24"/>
          <w:szCs w:val="24"/>
          <w:lang w:val="en-US"/>
        </w:rPr>
        <w:t xml:space="preserve">existing </w:t>
      </w:r>
      <w:r>
        <w:rPr>
          <w:sz w:val="24"/>
          <w:szCs w:val="24"/>
          <w:lang w:val="en-US"/>
        </w:rPr>
        <w:t>stand volume into the future.</w:t>
      </w:r>
    </w:p>
    <w:p w14:paraId="1D27CB85" w14:textId="77777777" w:rsidR="006A7B5B" w:rsidRPr="006A7B5B" w:rsidRDefault="006A7B5B" w:rsidP="00C215E3">
      <w:pPr>
        <w:spacing w:after="0" w:line="276" w:lineRule="auto"/>
        <w:rPr>
          <w:sz w:val="24"/>
          <w:szCs w:val="24"/>
          <w:lang w:val="en-US"/>
        </w:rPr>
      </w:pPr>
    </w:p>
    <w:p w14:paraId="4A77E5BE" w14:textId="2D46979D" w:rsidR="006A7B5B" w:rsidRDefault="006A7B5B" w:rsidP="00C215E3">
      <w:pPr>
        <w:spacing w:after="0" w:line="276" w:lineRule="auto"/>
        <w:rPr>
          <w:b/>
          <w:bCs/>
          <w:sz w:val="24"/>
          <w:szCs w:val="24"/>
          <w:lang w:val="en-US"/>
        </w:rPr>
      </w:pPr>
      <w:r>
        <w:rPr>
          <w:b/>
          <w:bCs/>
          <w:sz w:val="24"/>
          <w:szCs w:val="24"/>
          <w:lang w:val="en-US"/>
        </w:rPr>
        <w:t>Model Calibration</w:t>
      </w:r>
    </w:p>
    <w:p w14:paraId="75D50152" w14:textId="27F4A2C0" w:rsidR="006A7B5B" w:rsidRDefault="006A7B5B" w:rsidP="00C215E3">
      <w:pPr>
        <w:spacing w:after="0" w:line="276" w:lineRule="auto"/>
        <w:rPr>
          <w:sz w:val="24"/>
          <w:szCs w:val="24"/>
          <w:lang w:val="en-US"/>
        </w:rPr>
      </w:pPr>
    </w:p>
    <w:p w14:paraId="6F1462F5" w14:textId="104E4E22" w:rsidR="00A5258E" w:rsidRDefault="00E6084E" w:rsidP="00C215E3">
      <w:pPr>
        <w:spacing w:after="0" w:line="276" w:lineRule="auto"/>
        <w:rPr>
          <w:sz w:val="24"/>
          <w:szCs w:val="24"/>
          <w:lang w:val="en-US"/>
        </w:rPr>
      </w:pPr>
      <w:r>
        <w:rPr>
          <w:sz w:val="24"/>
          <w:szCs w:val="24"/>
          <w:lang w:val="en-US"/>
        </w:rPr>
        <w:t>Section 8.2.2 of the data package indicates VDYP7 was calibrated using 52,000 temporary sample plots (TSPs) and 9,300 permanent sample plots (PSPs). TSP data were used to calibrate yield (volume per hectare) functions and PSP data were used to calibrate the basal area growth functions used for inventory projection.</w:t>
      </w:r>
    </w:p>
    <w:p w14:paraId="27182CB2" w14:textId="657760EF" w:rsidR="00E6084E" w:rsidRDefault="00E6084E" w:rsidP="00C215E3">
      <w:pPr>
        <w:spacing w:after="0" w:line="276" w:lineRule="auto"/>
        <w:rPr>
          <w:sz w:val="24"/>
          <w:szCs w:val="24"/>
          <w:lang w:val="en-US"/>
        </w:rPr>
      </w:pPr>
    </w:p>
    <w:p w14:paraId="2FCE9A79" w14:textId="62AE452A" w:rsidR="00E6084E" w:rsidRDefault="00E6084E" w:rsidP="00C215E3">
      <w:pPr>
        <w:spacing w:after="0" w:line="276" w:lineRule="auto"/>
        <w:rPr>
          <w:sz w:val="24"/>
          <w:szCs w:val="24"/>
          <w:lang w:val="en-US"/>
        </w:rPr>
      </w:pPr>
      <w:r>
        <w:rPr>
          <w:sz w:val="24"/>
          <w:szCs w:val="24"/>
          <w:lang w:val="en-US"/>
        </w:rPr>
        <w:t>From 1997</w:t>
      </w:r>
      <w:r w:rsidR="001563CB">
        <w:rPr>
          <w:sz w:val="24"/>
          <w:szCs w:val="24"/>
          <w:lang w:val="en-US"/>
        </w:rPr>
        <w:t xml:space="preserve"> to 2002, the Forest Analysis and Inventory Branch (FAIB) undertook a major project to validate and correct the PSP database that had become corrupted due to outdated databases and data </w:t>
      </w:r>
      <w:r w:rsidR="00E97239">
        <w:rPr>
          <w:sz w:val="24"/>
          <w:szCs w:val="24"/>
          <w:lang w:val="en-US"/>
        </w:rPr>
        <w:t xml:space="preserve">validation software. A large backlog of PSP data, much of which was </w:t>
      </w:r>
      <w:r w:rsidR="00E97239">
        <w:rPr>
          <w:sz w:val="24"/>
          <w:szCs w:val="24"/>
          <w:lang w:val="en-US"/>
        </w:rPr>
        <w:lastRenderedPageBreak/>
        <w:t>obtained from industry, was also added to the PSP database. A data request in 2003 revealed that FAIB did not use the validated PSP data for VDYP7 calibration but had inadvertently used the corrupt and out-of-date data from 1997. The data request also revealed stand volume had been incorrectly calculated for much of the data.</w:t>
      </w:r>
    </w:p>
    <w:p w14:paraId="52A0496D" w14:textId="6A2DCD63" w:rsidR="00E97239" w:rsidRDefault="00E97239" w:rsidP="00C215E3">
      <w:pPr>
        <w:spacing w:after="0" w:line="276" w:lineRule="auto"/>
        <w:rPr>
          <w:sz w:val="24"/>
          <w:szCs w:val="24"/>
          <w:lang w:val="en-US"/>
        </w:rPr>
      </w:pPr>
    </w:p>
    <w:p w14:paraId="7A2D334A" w14:textId="1B0AC881" w:rsidR="00E97239" w:rsidRDefault="00E97239" w:rsidP="00C215E3">
      <w:pPr>
        <w:spacing w:after="0" w:line="276" w:lineRule="auto"/>
        <w:rPr>
          <w:sz w:val="24"/>
          <w:szCs w:val="24"/>
          <w:lang w:val="en-US"/>
        </w:rPr>
      </w:pPr>
      <w:r>
        <w:rPr>
          <w:sz w:val="24"/>
          <w:szCs w:val="24"/>
          <w:lang w:val="en-US"/>
        </w:rPr>
        <w:t>In a 2004 meeting, the FAIB VDYP7 modeller confirmed the incorrect PSP data had been used but insisted the stand volume calculation problem had bee</w:t>
      </w:r>
      <w:r w:rsidR="00471920">
        <w:rPr>
          <w:sz w:val="24"/>
          <w:szCs w:val="24"/>
          <w:lang w:val="en-US"/>
        </w:rPr>
        <w:t>n</w:t>
      </w:r>
      <w:r>
        <w:rPr>
          <w:sz w:val="24"/>
          <w:szCs w:val="24"/>
          <w:lang w:val="en-US"/>
        </w:rPr>
        <w:t xml:space="preserve"> corrected. FAIB only offered a verbal explanation and refused to provide the data to substantiate their claim. A subsequent freedom of information (FOI) request</w:t>
      </w:r>
      <w:r w:rsidR="00471920">
        <w:rPr>
          <w:sz w:val="24"/>
          <w:szCs w:val="24"/>
          <w:lang w:val="en-US"/>
        </w:rPr>
        <w:t xml:space="preserve"> in 2015</w:t>
      </w:r>
      <w:r>
        <w:rPr>
          <w:sz w:val="24"/>
          <w:szCs w:val="24"/>
          <w:lang w:val="en-US"/>
        </w:rPr>
        <w:t xml:space="preserve"> revealed that FAIB did not keep a record or copy of the PSP data used in the VDYP7 calibration.</w:t>
      </w:r>
    </w:p>
    <w:p w14:paraId="3DFD5B3A" w14:textId="3BA19989" w:rsidR="00E97239" w:rsidRDefault="00E97239" w:rsidP="00C215E3">
      <w:pPr>
        <w:spacing w:after="0" w:line="276" w:lineRule="auto"/>
        <w:rPr>
          <w:sz w:val="24"/>
          <w:szCs w:val="24"/>
          <w:lang w:val="en-US"/>
        </w:rPr>
      </w:pPr>
    </w:p>
    <w:p w14:paraId="418BF1F7" w14:textId="6D56738E" w:rsidR="00E97239" w:rsidRDefault="00471920" w:rsidP="00C215E3">
      <w:pPr>
        <w:spacing w:after="0" w:line="276" w:lineRule="auto"/>
        <w:rPr>
          <w:sz w:val="24"/>
          <w:szCs w:val="24"/>
          <w:lang w:val="en-US"/>
        </w:rPr>
      </w:pPr>
      <w:r>
        <w:rPr>
          <w:sz w:val="24"/>
          <w:szCs w:val="24"/>
          <w:lang w:val="en-US"/>
        </w:rPr>
        <w:t>Concerns related to VDYP7 projections include:</w:t>
      </w:r>
    </w:p>
    <w:p w14:paraId="3E78406A" w14:textId="4A02D737" w:rsidR="00471920" w:rsidRDefault="00471920" w:rsidP="00471920">
      <w:pPr>
        <w:pStyle w:val="ListParagraph"/>
        <w:numPr>
          <w:ilvl w:val="0"/>
          <w:numId w:val="5"/>
        </w:numPr>
        <w:spacing w:after="0" w:line="276" w:lineRule="auto"/>
        <w:rPr>
          <w:sz w:val="24"/>
          <w:szCs w:val="24"/>
          <w:lang w:val="en-US"/>
        </w:rPr>
      </w:pPr>
      <w:r>
        <w:rPr>
          <w:sz w:val="24"/>
          <w:szCs w:val="24"/>
          <w:lang w:val="en-US"/>
        </w:rPr>
        <w:t>Many corrections were made to the classification of stand layers in the data which would affect the VDYP7 growth functions which are fit by stand layer.</w:t>
      </w:r>
    </w:p>
    <w:p w14:paraId="496F4503" w14:textId="38595CE5" w:rsidR="00471920" w:rsidRDefault="00471920" w:rsidP="00471920">
      <w:pPr>
        <w:pStyle w:val="ListParagraph"/>
        <w:numPr>
          <w:ilvl w:val="0"/>
          <w:numId w:val="5"/>
        </w:numPr>
        <w:spacing w:after="0" w:line="276" w:lineRule="auto"/>
        <w:rPr>
          <w:sz w:val="24"/>
          <w:szCs w:val="24"/>
          <w:lang w:val="en-US"/>
        </w:rPr>
      </w:pPr>
      <w:r>
        <w:rPr>
          <w:sz w:val="24"/>
          <w:szCs w:val="24"/>
          <w:lang w:val="en-US"/>
        </w:rPr>
        <w:t xml:space="preserve">The validated 2002 data would have an addition 10 to 20 years of growth information </w:t>
      </w:r>
      <w:r w:rsidR="00A54B4C">
        <w:rPr>
          <w:sz w:val="24"/>
          <w:szCs w:val="24"/>
          <w:lang w:val="en-US"/>
        </w:rPr>
        <w:t xml:space="preserve">per sample plot </w:t>
      </w:r>
      <w:r>
        <w:rPr>
          <w:sz w:val="24"/>
          <w:szCs w:val="24"/>
          <w:lang w:val="en-US"/>
        </w:rPr>
        <w:t>than the out-of-date 1997 data.</w:t>
      </w:r>
    </w:p>
    <w:p w14:paraId="1BF515EE" w14:textId="0F9A7E71" w:rsidR="00471920" w:rsidRDefault="00471920" w:rsidP="00471920">
      <w:pPr>
        <w:pStyle w:val="ListParagraph"/>
        <w:numPr>
          <w:ilvl w:val="0"/>
          <w:numId w:val="5"/>
        </w:numPr>
        <w:spacing w:after="0" w:line="276" w:lineRule="auto"/>
        <w:rPr>
          <w:sz w:val="24"/>
          <w:szCs w:val="24"/>
          <w:lang w:val="en-US"/>
        </w:rPr>
      </w:pPr>
      <w:r>
        <w:rPr>
          <w:sz w:val="24"/>
          <w:szCs w:val="24"/>
          <w:lang w:val="en-US"/>
        </w:rPr>
        <w:t>The backlog of data missing from the 1997 data had most of the new breast height age and height measurements collected to Forest Productivity Council (FPC) standards that were to be used to calculate site index top FPC standards.</w:t>
      </w:r>
    </w:p>
    <w:p w14:paraId="34F169CD" w14:textId="1D9FA102" w:rsidR="00C266C3" w:rsidRPr="00471920" w:rsidRDefault="00C266C3" w:rsidP="00471920">
      <w:pPr>
        <w:pStyle w:val="ListParagraph"/>
        <w:numPr>
          <w:ilvl w:val="0"/>
          <w:numId w:val="5"/>
        </w:numPr>
        <w:spacing w:after="0" w:line="276" w:lineRule="auto"/>
        <w:rPr>
          <w:sz w:val="24"/>
          <w:szCs w:val="24"/>
          <w:lang w:val="en-US"/>
        </w:rPr>
      </w:pPr>
      <w:r>
        <w:rPr>
          <w:sz w:val="24"/>
          <w:szCs w:val="24"/>
          <w:lang w:val="en-US"/>
        </w:rPr>
        <w:t>Currently, there are no data to assess VDYP7 yield projections or determine the uncertainty associated with the yield projections.</w:t>
      </w:r>
    </w:p>
    <w:p w14:paraId="6022BFFC" w14:textId="302C00D6" w:rsidR="00496AAF" w:rsidRDefault="00496AAF" w:rsidP="00C215E3">
      <w:pPr>
        <w:spacing w:after="0" w:line="276" w:lineRule="auto"/>
        <w:rPr>
          <w:sz w:val="24"/>
          <w:szCs w:val="24"/>
          <w:lang w:val="en-US"/>
        </w:rPr>
      </w:pPr>
    </w:p>
    <w:p w14:paraId="2328E6DD" w14:textId="6E91901E" w:rsidR="00496AAF" w:rsidRDefault="00496AAF" w:rsidP="00C215E3">
      <w:pPr>
        <w:spacing w:after="0" w:line="276" w:lineRule="auto"/>
        <w:rPr>
          <w:sz w:val="24"/>
          <w:szCs w:val="24"/>
          <w:lang w:val="en-US"/>
        </w:rPr>
      </w:pPr>
      <w:r>
        <w:rPr>
          <w:sz w:val="24"/>
          <w:szCs w:val="24"/>
          <w:lang w:val="en-US"/>
        </w:rPr>
        <w:t>The VDYP7 website also falsely claims that VDYP7 was validated using 2,700 audit plots. VDYP7 documentation indicates the audit data were used to develop adjustment factors for a beta release of VDYP7. A 2015 FOI request revealed that FAIB has no record of VDYP7 validation with audit data.</w:t>
      </w:r>
    </w:p>
    <w:p w14:paraId="573E0CC3" w14:textId="77777777" w:rsidR="00496AAF" w:rsidRDefault="00496AAF" w:rsidP="00496AAF">
      <w:pPr>
        <w:spacing w:after="0" w:line="276" w:lineRule="auto"/>
        <w:rPr>
          <w:sz w:val="24"/>
          <w:szCs w:val="24"/>
          <w:lang w:val="en-US"/>
        </w:rPr>
      </w:pPr>
    </w:p>
    <w:p w14:paraId="027C708E" w14:textId="21A2168E" w:rsidR="00496AAF" w:rsidRDefault="00496AAF" w:rsidP="00496AAF">
      <w:pPr>
        <w:spacing w:after="0" w:line="276" w:lineRule="auto"/>
        <w:rPr>
          <w:sz w:val="24"/>
          <w:szCs w:val="24"/>
          <w:lang w:val="en-US"/>
        </w:rPr>
      </w:pPr>
      <w:r>
        <w:rPr>
          <w:sz w:val="24"/>
          <w:szCs w:val="24"/>
          <w:lang w:val="en-US"/>
        </w:rPr>
        <w:t>It is disc</w:t>
      </w:r>
      <w:r w:rsidR="0088332D">
        <w:rPr>
          <w:sz w:val="24"/>
          <w:szCs w:val="24"/>
          <w:lang w:val="en-US"/>
        </w:rPr>
        <w:t>oncerting</w:t>
      </w:r>
      <w:r>
        <w:rPr>
          <w:sz w:val="24"/>
          <w:szCs w:val="24"/>
          <w:lang w:val="en-US"/>
        </w:rPr>
        <w:t xml:space="preserve"> that FAIB continues to provide incorrect information on the calibration of VDYP7 to users.</w:t>
      </w:r>
    </w:p>
    <w:p w14:paraId="359A06AF" w14:textId="77777777" w:rsidR="00496AAF" w:rsidRPr="00A5258E" w:rsidRDefault="00496AAF" w:rsidP="00C215E3">
      <w:pPr>
        <w:spacing w:after="0" w:line="276" w:lineRule="auto"/>
        <w:rPr>
          <w:sz w:val="24"/>
          <w:szCs w:val="24"/>
          <w:lang w:val="en-US"/>
        </w:rPr>
      </w:pPr>
    </w:p>
    <w:p w14:paraId="0B4F2216" w14:textId="1FCFC0B5" w:rsidR="00C377C2" w:rsidRDefault="00546B0E" w:rsidP="00C215E3">
      <w:pPr>
        <w:spacing w:after="0" w:line="276" w:lineRule="auto"/>
        <w:rPr>
          <w:b/>
          <w:bCs/>
          <w:sz w:val="24"/>
          <w:szCs w:val="24"/>
          <w:lang w:val="en-US"/>
        </w:rPr>
      </w:pPr>
      <w:r w:rsidRPr="00546B0E">
        <w:rPr>
          <w:b/>
          <w:bCs/>
          <w:sz w:val="24"/>
          <w:szCs w:val="24"/>
          <w:lang w:val="en-US"/>
        </w:rPr>
        <w:t>VRI Statistical Adjustment</w:t>
      </w:r>
      <w:r>
        <w:rPr>
          <w:b/>
          <w:bCs/>
          <w:sz w:val="24"/>
          <w:szCs w:val="24"/>
          <w:lang w:val="en-US"/>
        </w:rPr>
        <w:t xml:space="preserve"> and Mature Inventory Audit</w:t>
      </w:r>
    </w:p>
    <w:p w14:paraId="00209A80" w14:textId="77E2398C" w:rsidR="006A7B5B" w:rsidRDefault="006A7B5B" w:rsidP="00C215E3">
      <w:pPr>
        <w:spacing w:after="0" w:line="276" w:lineRule="auto"/>
        <w:rPr>
          <w:sz w:val="24"/>
          <w:szCs w:val="24"/>
          <w:lang w:val="en-US"/>
        </w:rPr>
      </w:pPr>
    </w:p>
    <w:p w14:paraId="3CC69863" w14:textId="100954E9" w:rsidR="00A5258E" w:rsidRDefault="00195473" w:rsidP="00C215E3">
      <w:pPr>
        <w:spacing w:after="0" w:line="276" w:lineRule="auto"/>
        <w:rPr>
          <w:sz w:val="24"/>
          <w:szCs w:val="24"/>
          <w:lang w:val="en-US"/>
        </w:rPr>
      </w:pPr>
      <w:r>
        <w:rPr>
          <w:sz w:val="24"/>
          <w:szCs w:val="24"/>
          <w:lang w:val="en-US"/>
        </w:rPr>
        <w:t>The VRI and VDYP7 were designed to be used together with statistical adjustments made to the photo-interpreted VDYP7 input variables (age, height, basal area</w:t>
      </w:r>
      <w:r w:rsidR="00361F97">
        <w:rPr>
          <w:sz w:val="24"/>
          <w:szCs w:val="24"/>
          <w:lang w:val="en-US"/>
        </w:rPr>
        <w:t>,</w:t>
      </w:r>
      <w:r>
        <w:rPr>
          <w:sz w:val="24"/>
          <w:szCs w:val="24"/>
          <w:lang w:val="en-US"/>
        </w:rPr>
        <w:t xml:space="preserve"> and stems per hectare) and VDYP7 predicted volume using VRI ground plot data. </w:t>
      </w:r>
    </w:p>
    <w:p w14:paraId="4D05AFD5" w14:textId="6E3756DE" w:rsidR="00195473" w:rsidRDefault="00195473" w:rsidP="00C215E3">
      <w:pPr>
        <w:spacing w:after="0" w:line="276" w:lineRule="auto"/>
        <w:rPr>
          <w:sz w:val="24"/>
          <w:szCs w:val="24"/>
          <w:lang w:val="en-US"/>
        </w:rPr>
      </w:pPr>
    </w:p>
    <w:p w14:paraId="5C0C7058" w14:textId="61D05DA5" w:rsidR="00195473" w:rsidRDefault="00195473" w:rsidP="00C215E3">
      <w:pPr>
        <w:spacing w:after="0" w:line="276" w:lineRule="auto"/>
        <w:rPr>
          <w:sz w:val="24"/>
          <w:szCs w:val="24"/>
          <w:lang w:val="en-US"/>
        </w:rPr>
      </w:pPr>
      <w:r>
        <w:rPr>
          <w:sz w:val="24"/>
          <w:szCs w:val="24"/>
          <w:lang w:val="en-US"/>
        </w:rPr>
        <w:t xml:space="preserve">This process seems to have been abandoned and replaced by a Mature Inventory Audit </w:t>
      </w:r>
      <w:r w:rsidR="00EF0DC4">
        <w:rPr>
          <w:sz w:val="24"/>
          <w:szCs w:val="24"/>
          <w:lang w:val="en-US"/>
        </w:rPr>
        <w:t xml:space="preserve">(MIA) </w:t>
      </w:r>
      <w:r>
        <w:rPr>
          <w:sz w:val="24"/>
          <w:szCs w:val="24"/>
          <w:lang w:val="en-US"/>
        </w:rPr>
        <w:t xml:space="preserve">that could possibly be used to adjust volume if required. </w:t>
      </w:r>
    </w:p>
    <w:p w14:paraId="54A87373" w14:textId="5D61E349" w:rsidR="00195473" w:rsidRDefault="00195473" w:rsidP="00C215E3">
      <w:pPr>
        <w:spacing w:after="0" w:line="276" w:lineRule="auto"/>
        <w:rPr>
          <w:sz w:val="24"/>
          <w:szCs w:val="24"/>
          <w:lang w:val="en-US"/>
        </w:rPr>
      </w:pPr>
    </w:p>
    <w:p w14:paraId="0F593F90" w14:textId="5EEEC8E4" w:rsidR="00195473" w:rsidRDefault="00195473" w:rsidP="00C215E3">
      <w:pPr>
        <w:spacing w:after="0" w:line="276" w:lineRule="auto"/>
        <w:rPr>
          <w:sz w:val="24"/>
          <w:szCs w:val="24"/>
          <w:lang w:val="en-US"/>
        </w:rPr>
      </w:pPr>
      <w:r>
        <w:rPr>
          <w:sz w:val="24"/>
          <w:szCs w:val="24"/>
          <w:lang w:val="en-US"/>
        </w:rPr>
        <w:t xml:space="preserve">A statistical adjustment was completed in 2011 but not in time for use with the 2012 Okanagan TSA AAC determination. Data available for the </w:t>
      </w:r>
      <w:r w:rsidR="00FE7241">
        <w:rPr>
          <w:sz w:val="24"/>
          <w:szCs w:val="24"/>
          <w:lang w:val="en-US"/>
        </w:rPr>
        <w:t>statistical adjustment included 224 plots of which 109 were VRI plots established in 2002 with 31 of these remeasured in 2006, 48 were new VRI plots established in 2006, 20 were Change M</w:t>
      </w:r>
      <w:r w:rsidR="007644FF">
        <w:rPr>
          <w:sz w:val="24"/>
          <w:szCs w:val="24"/>
          <w:lang w:val="en-US"/>
        </w:rPr>
        <w:t>onitoring</w:t>
      </w:r>
      <w:r w:rsidR="00FE7241">
        <w:rPr>
          <w:sz w:val="24"/>
          <w:szCs w:val="24"/>
          <w:lang w:val="en-US"/>
        </w:rPr>
        <w:t xml:space="preserve"> Inventory (CMI) plots established in 2006, and 15 were mountain pine beetle (MPB) focus plots established in 2006. It was determined that only original (not remeasured) VRI plots should be used in the analysis (109 + 48 = 157 plots). It was later determined that the statistical adjustment should not include pine stands. Omitting the 26 pine plots and </w:t>
      </w:r>
      <w:r w:rsidR="00EF0DC4">
        <w:rPr>
          <w:sz w:val="24"/>
          <w:szCs w:val="24"/>
          <w:lang w:val="en-US"/>
        </w:rPr>
        <w:t>another 20 that were missing data or could not have volumes generated with VDYP7 left 103 plots for the statistical adjustment. The results indicated that the VRI underestimated the non-pine inventory by 19%.</w:t>
      </w:r>
    </w:p>
    <w:p w14:paraId="7AD8B36D" w14:textId="77777777" w:rsidR="00195473" w:rsidRDefault="00195473" w:rsidP="00C215E3">
      <w:pPr>
        <w:spacing w:after="0" w:line="276" w:lineRule="auto"/>
        <w:rPr>
          <w:sz w:val="24"/>
          <w:szCs w:val="24"/>
          <w:lang w:val="en-US"/>
        </w:rPr>
      </w:pPr>
    </w:p>
    <w:p w14:paraId="78DE95BA" w14:textId="48DF908D" w:rsidR="00A5258E" w:rsidRDefault="00EF0DC4" w:rsidP="00C215E3">
      <w:pPr>
        <w:spacing w:after="0" w:line="276" w:lineRule="auto"/>
        <w:rPr>
          <w:sz w:val="24"/>
          <w:szCs w:val="24"/>
          <w:lang w:val="en-US"/>
        </w:rPr>
      </w:pPr>
      <w:r>
        <w:rPr>
          <w:sz w:val="24"/>
          <w:szCs w:val="24"/>
          <w:lang w:val="en-US"/>
        </w:rPr>
        <w:t>The current Okanagan TSA TSR process is not using the 2011 VRI statistical adjustment. Instead, a MI</w:t>
      </w:r>
      <w:r w:rsidR="00D9621E">
        <w:rPr>
          <w:sz w:val="24"/>
          <w:szCs w:val="24"/>
          <w:lang w:val="en-US"/>
        </w:rPr>
        <w:t>A</w:t>
      </w:r>
      <w:r>
        <w:rPr>
          <w:sz w:val="24"/>
          <w:szCs w:val="24"/>
          <w:lang w:val="en-US"/>
        </w:rPr>
        <w:t xml:space="preserve"> using what appears to be the 48 VRI and 15 MPB Focus plots established in 2006 (somehow this ended up being 64 plots) and 32 CMI plots established in 2015 is used. </w:t>
      </w:r>
      <w:r w:rsidR="00086F55">
        <w:rPr>
          <w:sz w:val="24"/>
          <w:szCs w:val="24"/>
          <w:lang w:val="en-US"/>
        </w:rPr>
        <w:t xml:space="preserve">No reason is given for excluding the VRI plots established in 2002 or the CMI plots established in 2006. </w:t>
      </w:r>
      <w:r>
        <w:rPr>
          <w:sz w:val="24"/>
          <w:szCs w:val="24"/>
          <w:lang w:val="en-US"/>
        </w:rPr>
        <w:t xml:space="preserve">The VRI and CMI plots are </w:t>
      </w:r>
      <w:r w:rsidR="00E73BF5">
        <w:rPr>
          <w:sz w:val="24"/>
          <w:szCs w:val="24"/>
          <w:lang w:val="en-US"/>
        </w:rPr>
        <w:t>analysed</w:t>
      </w:r>
      <w:r>
        <w:rPr>
          <w:sz w:val="24"/>
          <w:szCs w:val="24"/>
          <w:lang w:val="en-US"/>
        </w:rPr>
        <w:t xml:space="preserve"> separat</w:t>
      </w:r>
      <w:r w:rsidR="00E73BF5">
        <w:rPr>
          <w:sz w:val="24"/>
          <w:szCs w:val="24"/>
          <w:lang w:val="en-US"/>
        </w:rPr>
        <w:t>ely</w:t>
      </w:r>
      <w:r>
        <w:rPr>
          <w:sz w:val="24"/>
          <w:szCs w:val="24"/>
          <w:lang w:val="en-US"/>
        </w:rPr>
        <w:t xml:space="preserve"> and </w:t>
      </w:r>
      <w:r w:rsidR="00086F55">
        <w:rPr>
          <w:sz w:val="24"/>
          <w:szCs w:val="24"/>
          <w:lang w:val="en-US"/>
        </w:rPr>
        <w:t xml:space="preserve">FAIB has interpreted the results of </w:t>
      </w:r>
      <w:r>
        <w:rPr>
          <w:sz w:val="24"/>
          <w:szCs w:val="24"/>
          <w:lang w:val="en-US"/>
        </w:rPr>
        <w:t xml:space="preserve">both </w:t>
      </w:r>
      <w:r w:rsidR="00E73BF5">
        <w:rPr>
          <w:sz w:val="24"/>
          <w:szCs w:val="24"/>
          <w:lang w:val="en-US"/>
        </w:rPr>
        <w:t xml:space="preserve">analyses </w:t>
      </w:r>
      <w:r w:rsidR="00086F55">
        <w:rPr>
          <w:sz w:val="24"/>
          <w:szCs w:val="24"/>
          <w:lang w:val="en-US"/>
        </w:rPr>
        <w:t>a</w:t>
      </w:r>
      <w:r w:rsidR="00A13A35">
        <w:rPr>
          <w:sz w:val="24"/>
          <w:szCs w:val="24"/>
          <w:lang w:val="en-US"/>
        </w:rPr>
        <w:t>s</w:t>
      </w:r>
      <w:r w:rsidR="00086F55">
        <w:rPr>
          <w:sz w:val="24"/>
          <w:szCs w:val="24"/>
          <w:lang w:val="en-US"/>
        </w:rPr>
        <w:t xml:space="preserve"> </w:t>
      </w:r>
      <w:r>
        <w:rPr>
          <w:sz w:val="24"/>
          <w:szCs w:val="24"/>
          <w:lang w:val="en-US"/>
        </w:rPr>
        <w:t>indicat</w:t>
      </w:r>
      <w:r w:rsidR="00086F55">
        <w:rPr>
          <w:sz w:val="24"/>
          <w:szCs w:val="24"/>
          <w:lang w:val="en-US"/>
        </w:rPr>
        <w:t>ing</w:t>
      </w:r>
      <w:r>
        <w:rPr>
          <w:sz w:val="24"/>
          <w:szCs w:val="24"/>
          <w:lang w:val="en-US"/>
        </w:rPr>
        <w:t xml:space="preserve"> no </w:t>
      </w:r>
      <w:r w:rsidR="00086F55">
        <w:rPr>
          <w:sz w:val="24"/>
          <w:szCs w:val="24"/>
          <w:lang w:val="en-US"/>
        </w:rPr>
        <w:t xml:space="preserve">volume </w:t>
      </w:r>
      <w:r>
        <w:rPr>
          <w:sz w:val="24"/>
          <w:szCs w:val="24"/>
          <w:lang w:val="en-US"/>
        </w:rPr>
        <w:t>adjustment is required.</w:t>
      </w:r>
    </w:p>
    <w:p w14:paraId="153F75E6" w14:textId="2D3C7870" w:rsidR="00E73BF5" w:rsidRDefault="00E73BF5" w:rsidP="00C215E3">
      <w:pPr>
        <w:spacing w:after="0" w:line="276" w:lineRule="auto"/>
        <w:rPr>
          <w:sz w:val="24"/>
          <w:szCs w:val="24"/>
          <w:lang w:val="en-US"/>
        </w:rPr>
      </w:pPr>
    </w:p>
    <w:p w14:paraId="03E535F6" w14:textId="0987A8C5" w:rsidR="00361F97" w:rsidRDefault="00361F97" w:rsidP="00C215E3">
      <w:pPr>
        <w:spacing w:after="0" w:line="276" w:lineRule="auto"/>
        <w:rPr>
          <w:sz w:val="24"/>
          <w:szCs w:val="24"/>
          <w:lang w:val="en-US"/>
        </w:rPr>
      </w:pPr>
      <w:r>
        <w:rPr>
          <w:sz w:val="24"/>
          <w:szCs w:val="24"/>
          <w:lang w:val="en-US"/>
        </w:rPr>
        <w:t xml:space="preserve">Questions have been raised as to the validity of the statistical analysis used in the MIA analysis and it, along with the interpretation as to whether a volume adjustment is required, is currently undergoing a review by a qualified biometrician. </w:t>
      </w:r>
    </w:p>
    <w:p w14:paraId="27F6F08B" w14:textId="77777777" w:rsidR="00361F97" w:rsidRDefault="00361F97" w:rsidP="00C215E3">
      <w:pPr>
        <w:spacing w:after="0" w:line="276" w:lineRule="auto"/>
        <w:rPr>
          <w:sz w:val="24"/>
          <w:szCs w:val="24"/>
          <w:lang w:val="en-US"/>
        </w:rPr>
      </w:pPr>
    </w:p>
    <w:p w14:paraId="4F4ABAA1" w14:textId="3BD862D9" w:rsidR="00E73BF5" w:rsidRDefault="00086F55" w:rsidP="00C215E3">
      <w:pPr>
        <w:spacing w:after="0" w:line="276" w:lineRule="auto"/>
        <w:rPr>
          <w:sz w:val="24"/>
          <w:szCs w:val="24"/>
          <w:lang w:val="en-US"/>
        </w:rPr>
      </w:pPr>
      <w:r>
        <w:rPr>
          <w:sz w:val="24"/>
          <w:szCs w:val="24"/>
          <w:lang w:val="en-US"/>
        </w:rPr>
        <w:t>While one might interpret the difference between the 2011 VRI statistical adjustment and the current M</w:t>
      </w:r>
      <w:r w:rsidR="00D9621E">
        <w:rPr>
          <w:sz w:val="24"/>
          <w:szCs w:val="24"/>
          <w:lang w:val="en-US"/>
        </w:rPr>
        <w:t>IA</w:t>
      </w:r>
      <w:r>
        <w:rPr>
          <w:sz w:val="24"/>
          <w:szCs w:val="24"/>
          <w:lang w:val="en-US"/>
        </w:rPr>
        <w:t xml:space="preserve"> as a</w:t>
      </w:r>
      <w:r w:rsidR="00361F97">
        <w:rPr>
          <w:sz w:val="24"/>
          <w:szCs w:val="24"/>
          <w:lang w:val="en-US"/>
        </w:rPr>
        <w:t>n indication</w:t>
      </w:r>
      <w:r>
        <w:rPr>
          <w:sz w:val="24"/>
          <w:szCs w:val="24"/>
          <w:lang w:val="en-US"/>
        </w:rPr>
        <w:t xml:space="preserve"> of uncertainty and question as to whether the best available information has been used in the M</w:t>
      </w:r>
      <w:r w:rsidR="00D9621E">
        <w:rPr>
          <w:sz w:val="24"/>
          <w:szCs w:val="24"/>
          <w:lang w:val="en-US"/>
        </w:rPr>
        <w:t>IA</w:t>
      </w:r>
      <w:r>
        <w:rPr>
          <w:sz w:val="24"/>
          <w:szCs w:val="24"/>
          <w:lang w:val="en-US"/>
        </w:rPr>
        <w:t xml:space="preserve"> analysis, </w:t>
      </w:r>
      <w:r w:rsidR="00361F97">
        <w:rPr>
          <w:sz w:val="24"/>
          <w:szCs w:val="24"/>
          <w:lang w:val="en-US"/>
        </w:rPr>
        <w:t>we will have to wait for the results of the statistical review</w:t>
      </w:r>
      <w:r w:rsidR="00F45991">
        <w:rPr>
          <w:sz w:val="24"/>
          <w:szCs w:val="24"/>
          <w:lang w:val="en-US"/>
        </w:rPr>
        <w:t xml:space="preserve"> to determine if any of the analyses are valid or whether new analyses are required.</w:t>
      </w:r>
    </w:p>
    <w:p w14:paraId="7D9ACB6A" w14:textId="367A986C" w:rsidR="00361F97" w:rsidRDefault="00361F97" w:rsidP="00C215E3">
      <w:pPr>
        <w:spacing w:after="0" w:line="276" w:lineRule="auto"/>
        <w:rPr>
          <w:sz w:val="24"/>
          <w:szCs w:val="24"/>
          <w:lang w:val="en-US"/>
        </w:rPr>
      </w:pPr>
    </w:p>
    <w:p w14:paraId="183624E7" w14:textId="5A6D5DB7" w:rsidR="00361F97" w:rsidRDefault="00F45991" w:rsidP="00C215E3">
      <w:pPr>
        <w:spacing w:after="0" w:line="276" w:lineRule="auto"/>
        <w:rPr>
          <w:sz w:val="24"/>
          <w:szCs w:val="24"/>
          <w:lang w:val="en-US"/>
        </w:rPr>
      </w:pPr>
      <w:r>
        <w:rPr>
          <w:sz w:val="24"/>
          <w:szCs w:val="24"/>
          <w:lang w:val="en-US"/>
        </w:rPr>
        <w:t xml:space="preserve">It should be noted that the VRI statistical analysis and MIA analysis </w:t>
      </w:r>
      <w:r w:rsidR="00C6774F">
        <w:rPr>
          <w:sz w:val="24"/>
          <w:szCs w:val="24"/>
          <w:lang w:val="en-US"/>
        </w:rPr>
        <w:t>only apply to the existing stand volumes at the time of plot measurement. There are no data to assess the volume predictions. Ideally, the VRI data should be used to make any adjustments and the CMI data should be used to assess the uncertainty associated with the adjusted volumes. Since the CMI program is relatively new, there will not be sufficient re-measured plot data to assess growth projections for decades.</w:t>
      </w:r>
    </w:p>
    <w:p w14:paraId="3F40D0CD" w14:textId="30B1255A" w:rsidR="00EF0DC4" w:rsidRDefault="00EF0DC4" w:rsidP="00C215E3">
      <w:pPr>
        <w:spacing w:after="0" w:line="276" w:lineRule="auto"/>
        <w:rPr>
          <w:sz w:val="24"/>
          <w:szCs w:val="24"/>
          <w:lang w:val="en-US"/>
        </w:rPr>
      </w:pPr>
    </w:p>
    <w:p w14:paraId="16F2A871" w14:textId="30215281" w:rsidR="00C6774F" w:rsidRDefault="00C6774F" w:rsidP="00C215E3">
      <w:pPr>
        <w:spacing w:after="0" w:line="276" w:lineRule="auto"/>
        <w:rPr>
          <w:sz w:val="24"/>
          <w:szCs w:val="24"/>
          <w:lang w:val="en-US"/>
        </w:rPr>
      </w:pPr>
      <w:r>
        <w:rPr>
          <w:sz w:val="24"/>
          <w:szCs w:val="24"/>
          <w:lang w:val="en-US"/>
        </w:rPr>
        <w:lastRenderedPageBreak/>
        <w:t>Our concern at this point is the TSR and AAC determination processes are proceeding before the statistical review of the analysis the Chief Forester relies on to determine the adequacy of the data for use in the AAC determination has been completed.</w:t>
      </w:r>
    </w:p>
    <w:p w14:paraId="23EF958A" w14:textId="77777777" w:rsidR="00EF0DC4" w:rsidRDefault="00EF0DC4" w:rsidP="00C215E3">
      <w:pPr>
        <w:spacing w:after="0" w:line="276" w:lineRule="auto"/>
        <w:rPr>
          <w:sz w:val="24"/>
          <w:szCs w:val="24"/>
          <w:lang w:val="en-US"/>
        </w:rPr>
      </w:pPr>
    </w:p>
    <w:p w14:paraId="2F7F9710" w14:textId="13912899" w:rsidR="00EF0DC4" w:rsidRDefault="00C6774F" w:rsidP="00C215E3">
      <w:pPr>
        <w:spacing w:after="0" w:line="276" w:lineRule="auto"/>
        <w:rPr>
          <w:sz w:val="24"/>
          <w:szCs w:val="24"/>
          <w:lang w:val="en-US"/>
        </w:rPr>
      </w:pPr>
      <w:r>
        <w:rPr>
          <w:sz w:val="24"/>
          <w:szCs w:val="24"/>
          <w:lang w:val="en-US"/>
        </w:rPr>
        <w:t>We do expect to have a chance to comment on the VRI once the statistical review has been completed and made public.</w:t>
      </w:r>
    </w:p>
    <w:p w14:paraId="55489D2A" w14:textId="77777777" w:rsidR="00EF0DC4" w:rsidRPr="00A5258E" w:rsidRDefault="00EF0DC4" w:rsidP="00C215E3">
      <w:pPr>
        <w:spacing w:after="0" w:line="276" w:lineRule="auto"/>
        <w:rPr>
          <w:sz w:val="24"/>
          <w:szCs w:val="24"/>
          <w:lang w:val="en-US"/>
        </w:rPr>
      </w:pPr>
    </w:p>
    <w:p w14:paraId="44CDD498" w14:textId="2BCAE74F" w:rsidR="006A7B5B" w:rsidRDefault="006A7B5B" w:rsidP="00C215E3">
      <w:pPr>
        <w:spacing w:after="0" w:line="276" w:lineRule="auto"/>
        <w:rPr>
          <w:b/>
          <w:bCs/>
          <w:sz w:val="24"/>
          <w:szCs w:val="24"/>
          <w:lang w:val="en-US"/>
        </w:rPr>
      </w:pPr>
      <w:r>
        <w:rPr>
          <w:b/>
          <w:bCs/>
          <w:sz w:val="24"/>
          <w:szCs w:val="24"/>
          <w:lang w:val="en-US"/>
        </w:rPr>
        <w:t>Stands Affected by Mountain Pine Beetle</w:t>
      </w:r>
    </w:p>
    <w:p w14:paraId="2C8F7C71" w14:textId="3DD5BE83" w:rsidR="006A7B5B" w:rsidRDefault="006A7B5B" w:rsidP="00C215E3">
      <w:pPr>
        <w:spacing w:after="0" w:line="276" w:lineRule="auto"/>
        <w:rPr>
          <w:sz w:val="24"/>
          <w:szCs w:val="24"/>
          <w:lang w:val="en-US"/>
        </w:rPr>
      </w:pPr>
    </w:p>
    <w:p w14:paraId="4BFA6D6C" w14:textId="7D62F9C3" w:rsidR="00A5258E" w:rsidRDefault="000C0DA0" w:rsidP="00C215E3">
      <w:pPr>
        <w:spacing w:after="0" w:line="276" w:lineRule="auto"/>
        <w:rPr>
          <w:sz w:val="24"/>
          <w:szCs w:val="24"/>
          <w:lang w:val="en-US"/>
        </w:rPr>
      </w:pPr>
      <w:r>
        <w:rPr>
          <w:sz w:val="24"/>
          <w:szCs w:val="24"/>
          <w:lang w:val="en-US"/>
        </w:rPr>
        <w:t xml:space="preserve">A recent initiative </w:t>
      </w:r>
      <w:r w:rsidR="00A13A35">
        <w:rPr>
          <w:sz w:val="24"/>
          <w:szCs w:val="24"/>
          <w:lang w:val="en-US"/>
        </w:rPr>
        <w:t>was undertaken</w:t>
      </w:r>
      <w:r>
        <w:rPr>
          <w:sz w:val="24"/>
          <w:szCs w:val="24"/>
          <w:lang w:val="en-US"/>
        </w:rPr>
        <w:t xml:space="preserve"> to make modifications to VDYP7 that will enable it to project </w:t>
      </w:r>
      <w:r w:rsidR="00590B12">
        <w:rPr>
          <w:sz w:val="24"/>
          <w:szCs w:val="24"/>
          <w:lang w:val="en-US"/>
        </w:rPr>
        <w:t xml:space="preserve">independent layers for stands affected by MPB. </w:t>
      </w:r>
    </w:p>
    <w:p w14:paraId="689A78C6" w14:textId="0918274A" w:rsidR="00590B12" w:rsidRDefault="00590B12" w:rsidP="00C215E3">
      <w:pPr>
        <w:spacing w:after="0" w:line="276" w:lineRule="auto"/>
        <w:rPr>
          <w:sz w:val="24"/>
          <w:szCs w:val="24"/>
          <w:lang w:val="en-US"/>
        </w:rPr>
      </w:pPr>
    </w:p>
    <w:p w14:paraId="7EA7EFCF" w14:textId="1EDB2259" w:rsidR="00590B12" w:rsidRDefault="00590B12" w:rsidP="00C215E3">
      <w:pPr>
        <w:spacing w:after="0" w:line="276" w:lineRule="auto"/>
        <w:rPr>
          <w:sz w:val="24"/>
          <w:szCs w:val="24"/>
          <w:lang w:val="en-US"/>
        </w:rPr>
      </w:pPr>
      <w:r>
        <w:rPr>
          <w:sz w:val="24"/>
          <w:szCs w:val="24"/>
          <w:lang w:val="en-US"/>
        </w:rPr>
        <w:t>Our questions on what data are to be used for this and how it will be validated were not answered as the modifications are not expected to be completed for a couple of years.</w:t>
      </w:r>
    </w:p>
    <w:p w14:paraId="57C17424" w14:textId="339171AE" w:rsidR="00590B12" w:rsidRDefault="00590B12" w:rsidP="00C215E3">
      <w:pPr>
        <w:spacing w:after="0" w:line="276" w:lineRule="auto"/>
        <w:rPr>
          <w:sz w:val="24"/>
          <w:szCs w:val="24"/>
          <w:lang w:val="en-US"/>
        </w:rPr>
      </w:pPr>
    </w:p>
    <w:p w14:paraId="7D02194B" w14:textId="24396B59" w:rsidR="00590B12" w:rsidRDefault="00590B12" w:rsidP="00C215E3">
      <w:pPr>
        <w:spacing w:after="0" w:line="276" w:lineRule="auto"/>
        <w:rPr>
          <w:sz w:val="24"/>
          <w:szCs w:val="24"/>
          <w:lang w:val="en-US"/>
        </w:rPr>
      </w:pPr>
      <w:r>
        <w:rPr>
          <w:sz w:val="24"/>
          <w:szCs w:val="24"/>
          <w:lang w:val="en-US"/>
        </w:rPr>
        <w:t>As a result, the projection of MPB affected stand volume will be done on ad hoc basis with the current version of VDYP7. This will most certainly add a degree of uncertainty, but as mentioned above, there are no remeasured sample plot data with which to assess the degree of uncertainty in yield predictions.</w:t>
      </w:r>
    </w:p>
    <w:p w14:paraId="6C420C9C" w14:textId="77777777" w:rsidR="00A5258E" w:rsidRPr="00A5258E" w:rsidRDefault="00A5258E" w:rsidP="00C215E3">
      <w:pPr>
        <w:spacing w:after="0" w:line="276" w:lineRule="auto"/>
        <w:rPr>
          <w:sz w:val="24"/>
          <w:szCs w:val="24"/>
          <w:lang w:val="en-US"/>
        </w:rPr>
      </w:pPr>
    </w:p>
    <w:p w14:paraId="4ED9AC87" w14:textId="520A0BE1" w:rsidR="006A7B5B" w:rsidRPr="006A7B5B" w:rsidRDefault="005B549C" w:rsidP="0028612A">
      <w:pPr>
        <w:spacing w:after="0" w:line="276" w:lineRule="auto"/>
        <w:rPr>
          <w:b/>
          <w:bCs/>
          <w:sz w:val="28"/>
          <w:szCs w:val="28"/>
          <w:lang w:val="en-US"/>
        </w:rPr>
      </w:pPr>
      <w:r>
        <w:rPr>
          <w:b/>
          <w:bCs/>
          <w:sz w:val="28"/>
          <w:szCs w:val="28"/>
          <w:lang w:val="en-US"/>
        </w:rPr>
        <w:t>TASS/</w:t>
      </w:r>
      <w:r w:rsidR="006A7B5B" w:rsidRPr="006A7B5B">
        <w:rPr>
          <w:b/>
          <w:bCs/>
          <w:sz w:val="28"/>
          <w:szCs w:val="28"/>
          <w:lang w:val="en-US"/>
        </w:rPr>
        <w:t>TIPSY</w:t>
      </w:r>
    </w:p>
    <w:p w14:paraId="5BED224E" w14:textId="1D604BE9" w:rsidR="006A7B5B" w:rsidRDefault="006A7B5B" w:rsidP="00C215E3">
      <w:pPr>
        <w:spacing w:after="0" w:line="276" w:lineRule="auto"/>
        <w:rPr>
          <w:sz w:val="24"/>
          <w:szCs w:val="24"/>
          <w:lang w:val="en-US"/>
        </w:rPr>
      </w:pPr>
    </w:p>
    <w:p w14:paraId="77DFFC65" w14:textId="77777777" w:rsidR="00EB0500" w:rsidRDefault="00EB0500" w:rsidP="00EB0500">
      <w:pPr>
        <w:spacing w:after="0" w:line="276" w:lineRule="auto"/>
        <w:rPr>
          <w:sz w:val="24"/>
          <w:szCs w:val="24"/>
          <w:lang w:val="en-US"/>
        </w:rPr>
      </w:pPr>
      <w:r>
        <w:rPr>
          <w:sz w:val="24"/>
          <w:szCs w:val="24"/>
          <w:lang w:val="en-US"/>
        </w:rPr>
        <w:t xml:space="preserve">The Table Interpolation for Stand Yields (TIPSY) is used to produce managed stand yield tables. TIPSY is not a growth model but is a growth and yield program that provides user friendly access to managed stand yield tables produced by the Tree and Stand Simulator (TASS). </w:t>
      </w:r>
    </w:p>
    <w:p w14:paraId="23D34057" w14:textId="0F886B8A" w:rsidR="00A5258E" w:rsidRPr="00A5258E" w:rsidRDefault="00A5258E" w:rsidP="00C215E3">
      <w:pPr>
        <w:spacing w:after="0" w:line="276" w:lineRule="auto"/>
        <w:rPr>
          <w:sz w:val="24"/>
          <w:szCs w:val="24"/>
          <w:lang w:val="en-US"/>
        </w:rPr>
      </w:pPr>
    </w:p>
    <w:p w14:paraId="14C454FF" w14:textId="3E07BBEF" w:rsidR="0028612A" w:rsidRDefault="0028612A" w:rsidP="00C215E3">
      <w:pPr>
        <w:spacing w:after="0" w:line="276" w:lineRule="auto"/>
        <w:rPr>
          <w:b/>
          <w:bCs/>
          <w:sz w:val="24"/>
          <w:szCs w:val="24"/>
          <w:lang w:val="en-US"/>
        </w:rPr>
      </w:pPr>
      <w:r>
        <w:rPr>
          <w:b/>
          <w:bCs/>
          <w:sz w:val="24"/>
          <w:szCs w:val="24"/>
          <w:lang w:val="en-US"/>
        </w:rPr>
        <w:t xml:space="preserve">Recent Changes </w:t>
      </w:r>
      <w:r w:rsidR="00A7044F">
        <w:rPr>
          <w:b/>
          <w:bCs/>
          <w:sz w:val="24"/>
          <w:szCs w:val="24"/>
          <w:lang w:val="en-US"/>
        </w:rPr>
        <w:t>in TASS/TIPSY</w:t>
      </w:r>
    </w:p>
    <w:p w14:paraId="49C1A5F4" w14:textId="25084B39" w:rsidR="00A7044F" w:rsidRDefault="00A7044F" w:rsidP="00C215E3">
      <w:pPr>
        <w:spacing w:after="0" w:line="276" w:lineRule="auto"/>
        <w:rPr>
          <w:sz w:val="24"/>
          <w:szCs w:val="24"/>
          <w:lang w:val="en-US"/>
        </w:rPr>
      </w:pPr>
    </w:p>
    <w:p w14:paraId="4A3A8B6B" w14:textId="5D04A8F0" w:rsidR="00A7044F" w:rsidRDefault="00967E35" w:rsidP="00C215E3">
      <w:pPr>
        <w:spacing w:after="0" w:line="276" w:lineRule="auto"/>
        <w:rPr>
          <w:sz w:val="24"/>
          <w:szCs w:val="24"/>
          <w:lang w:val="en-US"/>
        </w:rPr>
      </w:pPr>
      <w:r>
        <w:rPr>
          <w:sz w:val="24"/>
          <w:szCs w:val="24"/>
          <w:lang w:val="en-US"/>
        </w:rPr>
        <w:t xml:space="preserve">The 2019 release of TIPSY v4.4 indicates the </w:t>
      </w:r>
      <w:r>
        <w:rPr>
          <w:rFonts w:cstheme="minorHAnsi"/>
          <w:sz w:val="24"/>
          <w:szCs w:val="24"/>
          <w:lang w:val="en-US"/>
        </w:rPr>
        <w:t>±</w:t>
      </w:r>
      <w:r>
        <w:rPr>
          <w:sz w:val="24"/>
          <w:szCs w:val="24"/>
          <w:lang w:val="en-US"/>
        </w:rPr>
        <w:t>10% sensitivity analysis that has been used for decades in the TSR process</w:t>
      </w:r>
      <w:r w:rsidR="002D6241">
        <w:rPr>
          <w:sz w:val="24"/>
          <w:szCs w:val="24"/>
          <w:lang w:val="en-US"/>
        </w:rPr>
        <w:t xml:space="preserve"> does not adequately represent the uncertainty associated with TASS/TIPSY yield projections.</w:t>
      </w:r>
    </w:p>
    <w:p w14:paraId="16D1DAE7" w14:textId="0BC78FFC" w:rsidR="002D6241" w:rsidRDefault="002D6241" w:rsidP="00C215E3">
      <w:pPr>
        <w:spacing w:after="0" w:line="276" w:lineRule="auto"/>
        <w:rPr>
          <w:sz w:val="24"/>
          <w:szCs w:val="24"/>
          <w:lang w:val="en-US"/>
        </w:rPr>
      </w:pPr>
    </w:p>
    <w:p w14:paraId="01EB75A4" w14:textId="33D6391F" w:rsidR="002D6241" w:rsidRDefault="002D6241" w:rsidP="00C215E3">
      <w:pPr>
        <w:spacing w:after="0" w:line="276" w:lineRule="auto"/>
        <w:rPr>
          <w:sz w:val="24"/>
          <w:szCs w:val="24"/>
          <w:lang w:val="en-US"/>
        </w:rPr>
      </w:pPr>
      <w:r>
        <w:rPr>
          <w:sz w:val="24"/>
          <w:szCs w:val="24"/>
          <w:lang w:val="en-US"/>
        </w:rPr>
        <w:t xml:space="preserve">The following table compares the </w:t>
      </w:r>
      <w:r w:rsidR="009A7A3A">
        <w:rPr>
          <w:sz w:val="24"/>
          <w:szCs w:val="24"/>
          <w:lang w:val="en-US"/>
        </w:rPr>
        <w:t xml:space="preserve">volume </w:t>
      </w:r>
      <w:r>
        <w:rPr>
          <w:sz w:val="24"/>
          <w:szCs w:val="24"/>
          <w:lang w:val="en-US"/>
        </w:rPr>
        <w:t xml:space="preserve">differences between TIPSY v4.3 and TIPSY v4.4 </w:t>
      </w:r>
      <w:r w:rsidR="009A7A3A">
        <w:rPr>
          <w:sz w:val="24"/>
          <w:szCs w:val="24"/>
          <w:lang w:val="en-US"/>
        </w:rPr>
        <w:t xml:space="preserve">at age 100 </w:t>
      </w:r>
      <w:r>
        <w:rPr>
          <w:sz w:val="24"/>
          <w:szCs w:val="24"/>
          <w:lang w:val="en-US"/>
        </w:rPr>
        <w:t>for species that have changed. TIPSY input for all species is:</w:t>
      </w:r>
    </w:p>
    <w:p w14:paraId="785D64FD" w14:textId="20F8BD48" w:rsidR="002D6241" w:rsidRDefault="002D6241" w:rsidP="002D6241">
      <w:pPr>
        <w:pStyle w:val="ListParagraph"/>
        <w:numPr>
          <w:ilvl w:val="0"/>
          <w:numId w:val="8"/>
        </w:numPr>
        <w:spacing w:after="0" w:line="276" w:lineRule="auto"/>
        <w:rPr>
          <w:sz w:val="24"/>
          <w:szCs w:val="24"/>
          <w:lang w:val="en-US"/>
        </w:rPr>
      </w:pPr>
      <w:r>
        <w:rPr>
          <w:sz w:val="24"/>
          <w:szCs w:val="24"/>
          <w:lang w:val="en-US"/>
        </w:rPr>
        <w:t>Site index 20.0 metres.</w:t>
      </w:r>
    </w:p>
    <w:p w14:paraId="1B7717A5" w14:textId="21907FD5" w:rsidR="002D6241" w:rsidRDefault="002D6241" w:rsidP="002D6241">
      <w:pPr>
        <w:pStyle w:val="ListParagraph"/>
        <w:numPr>
          <w:ilvl w:val="0"/>
          <w:numId w:val="8"/>
        </w:numPr>
        <w:spacing w:after="0" w:line="276" w:lineRule="auto"/>
        <w:rPr>
          <w:sz w:val="24"/>
          <w:szCs w:val="24"/>
          <w:lang w:val="en-US"/>
        </w:rPr>
      </w:pPr>
      <w:r>
        <w:rPr>
          <w:sz w:val="24"/>
          <w:szCs w:val="24"/>
          <w:lang w:val="en-US"/>
        </w:rPr>
        <w:t>1,600 stems per hectare planted.</w:t>
      </w:r>
    </w:p>
    <w:p w14:paraId="3F84DAA8" w14:textId="008BC556" w:rsidR="002D6241" w:rsidRDefault="002D6241" w:rsidP="002D6241">
      <w:pPr>
        <w:pStyle w:val="ListParagraph"/>
        <w:numPr>
          <w:ilvl w:val="0"/>
          <w:numId w:val="8"/>
        </w:numPr>
        <w:spacing w:after="0" w:line="276" w:lineRule="auto"/>
        <w:rPr>
          <w:sz w:val="24"/>
          <w:szCs w:val="24"/>
          <w:lang w:val="en-US"/>
        </w:rPr>
      </w:pPr>
      <w:r>
        <w:rPr>
          <w:sz w:val="24"/>
          <w:szCs w:val="24"/>
          <w:lang w:val="en-US"/>
        </w:rPr>
        <w:t>Regeneration delay of 0 years.</w:t>
      </w:r>
    </w:p>
    <w:p w14:paraId="21C6E5F3" w14:textId="7713E48A" w:rsidR="002D6241" w:rsidRDefault="002D6241" w:rsidP="002D6241">
      <w:pPr>
        <w:pStyle w:val="ListParagraph"/>
        <w:numPr>
          <w:ilvl w:val="0"/>
          <w:numId w:val="8"/>
        </w:numPr>
        <w:spacing w:after="0" w:line="276" w:lineRule="auto"/>
        <w:rPr>
          <w:sz w:val="24"/>
          <w:szCs w:val="24"/>
          <w:lang w:val="en-US"/>
        </w:rPr>
      </w:pPr>
      <w:r>
        <w:rPr>
          <w:sz w:val="24"/>
          <w:szCs w:val="24"/>
          <w:lang w:val="en-US"/>
        </w:rPr>
        <w:t>OAF 1 of 0.85 and OAF 2 of 0.95.</w:t>
      </w:r>
    </w:p>
    <w:tbl>
      <w:tblPr>
        <w:tblW w:w="9315" w:type="dxa"/>
        <w:tblInd w:w="105" w:type="dxa"/>
        <w:tblLayout w:type="fixed"/>
        <w:tblCellMar>
          <w:left w:w="0" w:type="dxa"/>
          <w:right w:w="0" w:type="dxa"/>
        </w:tblCellMar>
        <w:tblLook w:val="0000" w:firstRow="0" w:lastRow="0" w:firstColumn="0" w:lastColumn="0" w:noHBand="0" w:noVBand="0"/>
      </w:tblPr>
      <w:tblGrid>
        <w:gridCol w:w="1022"/>
        <w:gridCol w:w="1070"/>
        <w:gridCol w:w="974"/>
        <w:gridCol w:w="1017"/>
        <w:gridCol w:w="1271"/>
        <w:gridCol w:w="973"/>
        <w:gridCol w:w="1016"/>
        <w:gridCol w:w="978"/>
        <w:gridCol w:w="994"/>
      </w:tblGrid>
      <w:tr w:rsidR="002D6241" w:rsidRPr="002D6241" w14:paraId="44BC947F" w14:textId="77777777" w:rsidTr="002D6241">
        <w:trPr>
          <w:trHeight w:val="320"/>
        </w:trPr>
        <w:tc>
          <w:tcPr>
            <w:tcW w:w="1022" w:type="dxa"/>
            <w:vMerge w:val="restart"/>
            <w:tcBorders>
              <w:top w:val="single" w:sz="12" w:space="0" w:color="000000"/>
              <w:left w:val="single" w:sz="12" w:space="0" w:color="000000"/>
              <w:bottom w:val="single" w:sz="12" w:space="0" w:color="000000"/>
              <w:right w:val="single" w:sz="12" w:space="0" w:color="000000"/>
            </w:tcBorders>
          </w:tcPr>
          <w:p w14:paraId="543CD811" w14:textId="595A4FC4" w:rsidR="002D6241" w:rsidRPr="002D6241" w:rsidRDefault="002D6241" w:rsidP="002D6241">
            <w:pPr>
              <w:kinsoku w:val="0"/>
              <w:overflowPunct w:val="0"/>
              <w:autoSpaceDE w:val="0"/>
              <w:autoSpaceDN w:val="0"/>
              <w:adjustRightInd w:val="0"/>
              <w:spacing w:after="0" w:line="240" w:lineRule="auto"/>
              <w:rPr>
                <w:rFonts w:ascii="Times New Roman" w:hAnsi="Times New Roman" w:cs="Times New Roman"/>
                <w:sz w:val="28"/>
                <w:szCs w:val="28"/>
              </w:rPr>
            </w:pPr>
            <w:r>
              <w:rPr>
                <w:sz w:val="24"/>
                <w:szCs w:val="24"/>
                <w:lang w:val="en-US"/>
              </w:rPr>
              <w:lastRenderedPageBreak/>
              <w:br w:type="page"/>
            </w:r>
          </w:p>
          <w:p w14:paraId="3D39E612" w14:textId="77777777" w:rsidR="002D6241" w:rsidRPr="002D6241" w:rsidRDefault="002D6241" w:rsidP="002D6241">
            <w:pPr>
              <w:kinsoku w:val="0"/>
              <w:overflowPunct w:val="0"/>
              <w:autoSpaceDE w:val="0"/>
              <w:autoSpaceDN w:val="0"/>
              <w:adjustRightInd w:val="0"/>
              <w:spacing w:before="193" w:after="0" w:line="240" w:lineRule="auto"/>
              <w:ind w:left="142"/>
              <w:rPr>
                <w:rFonts w:ascii="Calibri" w:hAnsi="Calibri" w:cs="Calibri"/>
                <w:b/>
                <w:bCs/>
                <w:sz w:val="24"/>
                <w:szCs w:val="24"/>
              </w:rPr>
            </w:pPr>
            <w:r w:rsidRPr="002D6241">
              <w:rPr>
                <w:rFonts w:ascii="Calibri" w:hAnsi="Calibri" w:cs="Calibri"/>
                <w:b/>
                <w:bCs/>
                <w:sz w:val="24"/>
                <w:szCs w:val="24"/>
              </w:rPr>
              <w:t>Species</w:t>
            </w:r>
          </w:p>
        </w:tc>
        <w:tc>
          <w:tcPr>
            <w:tcW w:w="6321" w:type="dxa"/>
            <w:gridSpan w:val="6"/>
            <w:tcBorders>
              <w:top w:val="single" w:sz="12" w:space="0" w:color="000000"/>
              <w:left w:val="single" w:sz="12" w:space="0" w:color="000000"/>
              <w:bottom w:val="single" w:sz="8" w:space="0" w:color="000000"/>
              <w:right w:val="single" w:sz="12" w:space="0" w:color="000000"/>
            </w:tcBorders>
          </w:tcPr>
          <w:p w14:paraId="713C1342" w14:textId="77777777" w:rsidR="002D6241" w:rsidRPr="002D6241" w:rsidRDefault="002D6241" w:rsidP="002D6241">
            <w:pPr>
              <w:kinsoku w:val="0"/>
              <w:overflowPunct w:val="0"/>
              <w:autoSpaceDE w:val="0"/>
              <w:autoSpaceDN w:val="0"/>
              <w:adjustRightInd w:val="0"/>
              <w:spacing w:before="2" w:after="0" w:line="240" w:lineRule="auto"/>
              <w:ind w:left="1747"/>
              <w:rPr>
                <w:rFonts w:ascii="Calibri" w:hAnsi="Calibri" w:cs="Calibri"/>
                <w:b/>
                <w:bCs/>
                <w:sz w:val="24"/>
                <w:szCs w:val="24"/>
              </w:rPr>
            </w:pPr>
            <w:r w:rsidRPr="002D6241">
              <w:rPr>
                <w:rFonts w:ascii="Calibri" w:hAnsi="Calibri" w:cs="Calibri"/>
                <w:b/>
                <w:bCs/>
                <w:sz w:val="24"/>
                <w:szCs w:val="24"/>
              </w:rPr>
              <w:t>Volume</w:t>
            </w:r>
            <w:r w:rsidRPr="002D6241">
              <w:rPr>
                <w:rFonts w:ascii="Calibri" w:hAnsi="Calibri" w:cs="Calibri"/>
                <w:b/>
                <w:bCs/>
                <w:spacing w:val="-2"/>
                <w:sz w:val="24"/>
                <w:szCs w:val="24"/>
              </w:rPr>
              <w:t xml:space="preserve"> </w:t>
            </w:r>
            <w:r w:rsidRPr="002D6241">
              <w:rPr>
                <w:rFonts w:ascii="Calibri" w:hAnsi="Calibri" w:cs="Calibri"/>
                <w:b/>
                <w:bCs/>
                <w:sz w:val="24"/>
                <w:szCs w:val="24"/>
              </w:rPr>
              <w:t>per</w:t>
            </w:r>
            <w:r w:rsidRPr="002D6241">
              <w:rPr>
                <w:rFonts w:ascii="Calibri" w:hAnsi="Calibri" w:cs="Calibri"/>
                <w:b/>
                <w:bCs/>
                <w:spacing w:val="-1"/>
                <w:sz w:val="24"/>
                <w:szCs w:val="24"/>
              </w:rPr>
              <w:t xml:space="preserve"> </w:t>
            </w:r>
            <w:r w:rsidRPr="002D6241">
              <w:rPr>
                <w:rFonts w:ascii="Calibri" w:hAnsi="Calibri" w:cs="Calibri"/>
                <w:b/>
                <w:bCs/>
                <w:sz w:val="24"/>
                <w:szCs w:val="24"/>
              </w:rPr>
              <w:t>Hectare</w:t>
            </w:r>
            <w:r w:rsidRPr="002D6241">
              <w:rPr>
                <w:rFonts w:ascii="Calibri" w:hAnsi="Calibri" w:cs="Calibri"/>
                <w:b/>
                <w:bCs/>
                <w:spacing w:val="-1"/>
                <w:sz w:val="24"/>
                <w:szCs w:val="24"/>
              </w:rPr>
              <w:t xml:space="preserve"> </w:t>
            </w:r>
            <w:r w:rsidRPr="002D6241">
              <w:rPr>
                <w:rFonts w:ascii="Calibri" w:hAnsi="Calibri" w:cs="Calibri"/>
                <w:b/>
                <w:bCs/>
                <w:sz w:val="24"/>
                <w:szCs w:val="24"/>
              </w:rPr>
              <w:t>(m</w:t>
            </w:r>
            <w:r w:rsidRPr="002D6241">
              <w:rPr>
                <w:rFonts w:ascii="Calibri" w:hAnsi="Calibri" w:cs="Calibri"/>
                <w:b/>
                <w:bCs/>
                <w:position w:val="8"/>
                <w:sz w:val="16"/>
                <w:szCs w:val="16"/>
              </w:rPr>
              <w:t>3</w:t>
            </w:r>
            <w:r w:rsidRPr="002D6241">
              <w:rPr>
                <w:rFonts w:ascii="Calibri" w:hAnsi="Calibri" w:cs="Calibri"/>
                <w:b/>
                <w:bCs/>
                <w:sz w:val="24"/>
                <w:szCs w:val="24"/>
              </w:rPr>
              <w:t>/ha)</w:t>
            </w:r>
          </w:p>
        </w:tc>
        <w:tc>
          <w:tcPr>
            <w:tcW w:w="1972" w:type="dxa"/>
            <w:gridSpan w:val="2"/>
            <w:vMerge w:val="restart"/>
            <w:tcBorders>
              <w:top w:val="single" w:sz="12" w:space="0" w:color="000000"/>
              <w:left w:val="single" w:sz="12" w:space="0" w:color="000000"/>
              <w:bottom w:val="single" w:sz="8" w:space="0" w:color="000000"/>
              <w:right w:val="single" w:sz="6" w:space="0" w:color="000000"/>
            </w:tcBorders>
          </w:tcPr>
          <w:p w14:paraId="28BBB933" w14:textId="77777777" w:rsidR="002D6241" w:rsidRPr="002D6241" w:rsidRDefault="002D6241" w:rsidP="002D6241">
            <w:pPr>
              <w:kinsoku w:val="0"/>
              <w:overflowPunct w:val="0"/>
              <w:autoSpaceDE w:val="0"/>
              <w:autoSpaceDN w:val="0"/>
              <w:adjustRightInd w:val="0"/>
              <w:spacing w:before="25" w:after="0" w:line="254" w:lineRule="auto"/>
              <w:ind w:left="835" w:right="413" w:hanging="358"/>
              <w:rPr>
                <w:rFonts w:ascii="Calibri" w:hAnsi="Calibri" w:cs="Calibri"/>
                <w:b/>
                <w:bCs/>
                <w:sz w:val="24"/>
                <w:szCs w:val="24"/>
              </w:rPr>
            </w:pPr>
            <w:r w:rsidRPr="002D6241">
              <w:rPr>
                <w:rFonts w:ascii="Calibri" w:hAnsi="Calibri" w:cs="Calibri"/>
                <w:b/>
                <w:bCs/>
                <w:sz w:val="24"/>
                <w:szCs w:val="24"/>
              </w:rPr>
              <w:t>Difference</w:t>
            </w:r>
            <w:r w:rsidRPr="002D6241">
              <w:rPr>
                <w:rFonts w:ascii="Calibri" w:hAnsi="Calibri" w:cs="Calibri"/>
                <w:b/>
                <w:bCs/>
                <w:spacing w:val="-52"/>
                <w:sz w:val="24"/>
                <w:szCs w:val="24"/>
              </w:rPr>
              <w:t xml:space="preserve"> </w:t>
            </w:r>
            <w:r w:rsidRPr="002D6241">
              <w:rPr>
                <w:rFonts w:ascii="Calibri" w:hAnsi="Calibri" w:cs="Calibri"/>
                <w:b/>
                <w:bCs/>
                <w:sz w:val="24"/>
                <w:szCs w:val="24"/>
              </w:rPr>
              <w:t>(%)</w:t>
            </w:r>
          </w:p>
        </w:tc>
      </w:tr>
      <w:tr w:rsidR="002D6241" w:rsidRPr="002D6241" w14:paraId="57175D93" w14:textId="77777777" w:rsidTr="002D6241">
        <w:trPr>
          <w:trHeight w:val="320"/>
        </w:trPr>
        <w:tc>
          <w:tcPr>
            <w:tcW w:w="1022" w:type="dxa"/>
            <w:vMerge/>
            <w:tcBorders>
              <w:top w:val="nil"/>
              <w:left w:val="single" w:sz="12" w:space="0" w:color="000000"/>
              <w:bottom w:val="single" w:sz="12" w:space="0" w:color="000000"/>
              <w:right w:val="single" w:sz="12" w:space="0" w:color="000000"/>
            </w:tcBorders>
          </w:tcPr>
          <w:p w14:paraId="1199A41B" w14:textId="77777777" w:rsidR="002D6241" w:rsidRPr="002D6241" w:rsidRDefault="002D6241" w:rsidP="002D6241">
            <w:pPr>
              <w:autoSpaceDE w:val="0"/>
              <w:autoSpaceDN w:val="0"/>
              <w:adjustRightInd w:val="0"/>
              <w:spacing w:after="0" w:line="240" w:lineRule="auto"/>
              <w:rPr>
                <w:rFonts w:ascii="Times New Roman" w:hAnsi="Times New Roman" w:cs="Times New Roman"/>
                <w:sz w:val="2"/>
                <w:szCs w:val="2"/>
              </w:rPr>
            </w:pPr>
          </w:p>
        </w:tc>
        <w:tc>
          <w:tcPr>
            <w:tcW w:w="3061" w:type="dxa"/>
            <w:gridSpan w:val="3"/>
            <w:tcBorders>
              <w:top w:val="single" w:sz="8" w:space="0" w:color="000000"/>
              <w:left w:val="single" w:sz="12" w:space="0" w:color="000000"/>
              <w:bottom w:val="single" w:sz="8" w:space="0" w:color="000000"/>
              <w:right w:val="single" w:sz="12" w:space="0" w:color="000000"/>
            </w:tcBorders>
          </w:tcPr>
          <w:p w14:paraId="4E395CBA" w14:textId="77777777" w:rsidR="002D6241" w:rsidRPr="002D6241" w:rsidRDefault="002D6241" w:rsidP="002D6241">
            <w:pPr>
              <w:kinsoku w:val="0"/>
              <w:overflowPunct w:val="0"/>
              <w:autoSpaceDE w:val="0"/>
              <w:autoSpaceDN w:val="0"/>
              <w:adjustRightInd w:val="0"/>
              <w:spacing w:before="11" w:after="0" w:line="290" w:lineRule="exact"/>
              <w:ind w:left="1017"/>
              <w:rPr>
                <w:rFonts w:ascii="Calibri" w:hAnsi="Calibri" w:cs="Calibri"/>
                <w:b/>
                <w:bCs/>
                <w:sz w:val="24"/>
                <w:szCs w:val="24"/>
              </w:rPr>
            </w:pPr>
            <w:r w:rsidRPr="002D6241">
              <w:rPr>
                <w:rFonts w:ascii="Calibri" w:hAnsi="Calibri" w:cs="Calibri"/>
                <w:b/>
                <w:bCs/>
                <w:sz w:val="24"/>
                <w:szCs w:val="24"/>
              </w:rPr>
              <w:t>TIPSY</w:t>
            </w:r>
            <w:r w:rsidRPr="002D6241">
              <w:rPr>
                <w:rFonts w:ascii="Calibri" w:hAnsi="Calibri" w:cs="Calibri"/>
                <w:b/>
                <w:bCs/>
                <w:spacing w:val="-2"/>
                <w:sz w:val="24"/>
                <w:szCs w:val="24"/>
              </w:rPr>
              <w:t xml:space="preserve"> </w:t>
            </w:r>
            <w:r w:rsidRPr="002D6241">
              <w:rPr>
                <w:rFonts w:ascii="Calibri" w:hAnsi="Calibri" w:cs="Calibri"/>
                <w:b/>
                <w:bCs/>
                <w:sz w:val="24"/>
                <w:szCs w:val="24"/>
              </w:rPr>
              <w:t>v4.3</w:t>
            </w:r>
          </w:p>
        </w:tc>
        <w:tc>
          <w:tcPr>
            <w:tcW w:w="3260" w:type="dxa"/>
            <w:gridSpan w:val="3"/>
            <w:tcBorders>
              <w:top w:val="single" w:sz="8" w:space="0" w:color="000000"/>
              <w:left w:val="single" w:sz="12" w:space="0" w:color="000000"/>
              <w:bottom w:val="single" w:sz="8" w:space="0" w:color="000000"/>
              <w:right w:val="single" w:sz="12" w:space="0" w:color="000000"/>
            </w:tcBorders>
          </w:tcPr>
          <w:p w14:paraId="09A718E6" w14:textId="77777777" w:rsidR="002D6241" w:rsidRPr="002D6241" w:rsidRDefault="002D6241" w:rsidP="002D6241">
            <w:pPr>
              <w:kinsoku w:val="0"/>
              <w:overflowPunct w:val="0"/>
              <w:autoSpaceDE w:val="0"/>
              <w:autoSpaceDN w:val="0"/>
              <w:adjustRightInd w:val="0"/>
              <w:spacing w:before="11" w:after="0" w:line="290" w:lineRule="exact"/>
              <w:ind w:left="1104" w:right="1064"/>
              <w:jc w:val="center"/>
              <w:rPr>
                <w:rFonts w:ascii="Calibri" w:hAnsi="Calibri" w:cs="Calibri"/>
                <w:b/>
                <w:bCs/>
                <w:sz w:val="24"/>
                <w:szCs w:val="24"/>
              </w:rPr>
            </w:pPr>
            <w:r w:rsidRPr="002D6241">
              <w:rPr>
                <w:rFonts w:ascii="Calibri" w:hAnsi="Calibri" w:cs="Calibri"/>
                <w:b/>
                <w:bCs/>
                <w:sz w:val="24"/>
                <w:szCs w:val="24"/>
              </w:rPr>
              <w:t>TIPSY</w:t>
            </w:r>
            <w:r w:rsidRPr="002D6241">
              <w:rPr>
                <w:rFonts w:ascii="Calibri" w:hAnsi="Calibri" w:cs="Calibri"/>
                <w:b/>
                <w:bCs/>
                <w:spacing w:val="-2"/>
                <w:sz w:val="24"/>
                <w:szCs w:val="24"/>
              </w:rPr>
              <w:t xml:space="preserve"> </w:t>
            </w:r>
            <w:r w:rsidRPr="002D6241">
              <w:rPr>
                <w:rFonts w:ascii="Calibri" w:hAnsi="Calibri" w:cs="Calibri"/>
                <w:b/>
                <w:bCs/>
                <w:sz w:val="24"/>
                <w:szCs w:val="24"/>
              </w:rPr>
              <w:t>v4.4</w:t>
            </w:r>
          </w:p>
        </w:tc>
        <w:tc>
          <w:tcPr>
            <w:tcW w:w="1972" w:type="dxa"/>
            <w:gridSpan w:val="2"/>
            <w:vMerge/>
            <w:tcBorders>
              <w:top w:val="nil"/>
              <w:left w:val="single" w:sz="12" w:space="0" w:color="000000"/>
              <w:bottom w:val="single" w:sz="8" w:space="0" w:color="000000"/>
              <w:right w:val="single" w:sz="6" w:space="0" w:color="000000"/>
            </w:tcBorders>
          </w:tcPr>
          <w:p w14:paraId="6A72F469" w14:textId="77777777" w:rsidR="002D6241" w:rsidRPr="002D6241" w:rsidRDefault="002D6241" w:rsidP="002D6241">
            <w:pPr>
              <w:autoSpaceDE w:val="0"/>
              <w:autoSpaceDN w:val="0"/>
              <w:adjustRightInd w:val="0"/>
              <w:spacing w:after="0" w:line="240" w:lineRule="auto"/>
              <w:rPr>
                <w:rFonts w:ascii="Times New Roman" w:hAnsi="Times New Roman" w:cs="Times New Roman"/>
                <w:sz w:val="2"/>
                <w:szCs w:val="2"/>
              </w:rPr>
            </w:pPr>
          </w:p>
        </w:tc>
      </w:tr>
      <w:tr w:rsidR="002D6241" w:rsidRPr="002D6241" w14:paraId="2DE82FD9" w14:textId="77777777" w:rsidTr="002D6241">
        <w:trPr>
          <w:trHeight w:val="637"/>
        </w:trPr>
        <w:tc>
          <w:tcPr>
            <w:tcW w:w="1022" w:type="dxa"/>
            <w:vMerge/>
            <w:tcBorders>
              <w:top w:val="nil"/>
              <w:left w:val="single" w:sz="12" w:space="0" w:color="000000"/>
              <w:bottom w:val="single" w:sz="12" w:space="0" w:color="000000"/>
              <w:right w:val="single" w:sz="12" w:space="0" w:color="000000"/>
            </w:tcBorders>
          </w:tcPr>
          <w:p w14:paraId="366DACCA" w14:textId="77777777" w:rsidR="002D6241" w:rsidRPr="002D6241" w:rsidRDefault="002D6241" w:rsidP="002D6241">
            <w:pPr>
              <w:autoSpaceDE w:val="0"/>
              <w:autoSpaceDN w:val="0"/>
              <w:adjustRightInd w:val="0"/>
              <w:spacing w:after="0" w:line="240" w:lineRule="auto"/>
              <w:rPr>
                <w:rFonts w:ascii="Times New Roman" w:hAnsi="Times New Roman" w:cs="Times New Roman"/>
                <w:sz w:val="2"/>
                <w:szCs w:val="2"/>
              </w:rPr>
            </w:pPr>
          </w:p>
        </w:tc>
        <w:tc>
          <w:tcPr>
            <w:tcW w:w="1070" w:type="dxa"/>
            <w:tcBorders>
              <w:top w:val="single" w:sz="8" w:space="0" w:color="000000"/>
              <w:left w:val="single" w:sz="12" w:space="0" w:color="000000"/>
              <w:bottom w:val="single" w:sz="12" w:space="0" w:color="000000"/>
              <w:right w:val="single" w:sz="8" w:space="0" w:color="000000"/>
            </w:tcBorders>
          </w:tcPr>
          <w:p w14:paraId="288A99CD" w14:textId="77777777" w:rsidR="002D6241" w:rsidRPr="002D6241" w:rsidRDefault="002D6241" w:rsidP="002D6241">
            <w:pPr>
              <w:kinsoku w:val="0"/>
              <w:overflowPunct w:val="0"/>
              <w:autoSpaceDE w:val="0"/>
              <w:autoSpaceDN w:val="0"/>
              <w:adjustRightInd w:val="0"/>
              <w:spacing w:before="6" w:after="0" w:line="240" w:lineRule="auto"/>
              <w:ind w:left="287"/>
              <w:rPr>
                <w:rFonts w:ascii="Calibri" w:hAnsi="Calibri" w:cs="Calibri"/>
                <w:b/>
                <w:bCs/>
                <w:sz w:val="24"/>
                <w:szCs w:val="24"/>
              </w:rPr>
            </w:pPr>
            <w:r w:rsidRPr="002D6241">
              <w:rPr>
                <w:rFonts w:ascii="Calibri" w:hAnsi="Calibri" w:cs="Calibri"/>
                <w:b/>
                <w:bCs/>
                <w:sz w:val="24"/>
                <w:szCs w:val="24"/>
              </w:rPr>
              <w:t>TASS</w:t>
            </w:r>
          </w:p>
          <w:p w14:paraId="683B0DD5" w14:textId="77777777" w:rsidR="002D6241" w:rsidRPr="002D6241" w:rsidRDefault="002D6241" w:rsidP="002D6241">
            <w:pPr>
              <w:kinsoku w:val="0"/>
              <w:overflowPunct w:val="0"/>
              <w:autoSpaceDE w:val="0"/>
              <w:autoSpaceDN w:val="0"/>
              <w:adjustRightInd w:val="0"/>
              <w:spacing w:before="24" w:after="0" w:line="240" w:lineRule="auto"/>
              <w:ind w:left="153"/>
              <w:rPr>
                <w:rFonts w:ascii="Calibri" w:hAnsi="Calibri" w:cs="Calibri"/>
                <w:b/>
                <w:bCs/>
                <w:sz w:val="24"/>
                <w:szCs w:val="24"/>
              </w:rPr>
            </w:pPr>
            <w:r w:rsidRPr="002D6241">
              <w:rPr>
                <w:rFonts w:ascii="Calibri" w:hAnsi="Calibri" w:cs="Calibri"/>
                <w:b/>
                <w:bCs/>
                <w:sz w:val="24"/>
                <w:szCs w:val="24"/>
              </w:rPr>
              <w:t>Version</w:t>
            </w:r>
          </w:p>
        </w:tc>
        <w:tc>
          <w:tcPr>
            <w:tcW w:w="974" w:type="dxa"/>
            <w:tcBorders>
              <w:top w:val="single" w:sz="8" w:space="0" w:color="000000"/>
              <w:left w:val="single" w:sz="8" w:space="0" w:color="000000"/>
              <w:bottom w:val="single" w:sz="12" w:space="0" w:color="000000"/>
              <w:right w:val="single" w:sz="8" w:space="0" w:color="000000"/>
            </w:tcBorders>
          </w:tcPr>
          <w:p w14:paraId="3C8EA5B5" w14:textId="77777777" w:rsidR="002D6241" w:rsidRPr="002D6241" w:rsidRDefault="002D6241" w:rsidP="002D6241">
            <w:pPr>
              <w:kinsoku w:val="0"/>
              <w:overflowPunct w:val="0"/>
              <w:autoSpaceDE w:val="0"/>
              <w:autoSpaceDN w:val="0"/>
              <w:adjustRightInd w:val="0"/>
              <w:spacing w:before="164" w:after="0" w:line="240" w:lineRule="auto"/>
              <w:ind w:left="216" w:right="189"/>
              <w:jc w:val="center"/>
              <w:rPr>
                <w:rFonts w:ascii="Calibri" w:hAnsi="Calibri" w:cs="Calibri"/>
                <w:b/>
                <w:bCs/>
                <w:sz w:val="24"/>
                <w:szCs w:val="24"/>
              </w:rPr>
            </w:pPr>
            <w:r w:rsidRPr="002D6241">
              <w:rPr>
                <w:rFonts w:ascii="Calibri" w:hAnsi="Calibri" w:cs="Calibri"/>
                <w:b/>
                <w:bCs/>
                <w:sz w:val="24"/>
                <w:szCs w:val="24"/>
              </w:rPr>
              <w:t>Total</w:t>
            </w:r>
          </w:p>
        </w:tc>
        <w:tc>
          <w:tcPr>
            <w:tcW w:w="1017" w:type="dxa"/>
            <w:tcBorders>
              <w:top w:val="single" w:sz="8" w:space="0" w:color="000000"/>
              <w:left w:val="single" w:sz="8" w:space="0" w:color="000000"/>
              <w:bottom w:val="single" w:sz="12" w:space="0" w:color="000000"/>
              <w:right w:val="single" w:sz="12" w:space="0" w:color="000000"/>
            </w:tcBorders>
          </w:tcPr>
          <w:p w14:paraId="4777D7DC" w14:textId="77777777" w:rsidR="002D6241" w:rsidRPr="002D6241" w:rsidRDefault="002D6241" w:rsidP="002D6241">
            <w:pPr>
              <w:kinsoku w:val="0"/>
              <w:overflowPunct w:val="0"/>
              <w:autoSpaceDE w:val="0"/>
              <w:autoSpaceDN w:val="0"/>
              <w:adjustRightInd w:val="0"/>
              <w:spacing w:before="6" w:after="0" w:line="240" w:lineRule="auto"/>
              <w:ind w:left="161"/>
              <w:rPr>
                <w:rFonts w:ascii="Calibri" w:hAnsi="Calibri" w:cs="Calibri"/>
                <w:b/>
                <w:bCs/>
                <w:sz w:val="24"/>
                <w:szCs w:val="24"/>
              </w:rPr>
            </w:pPr>
            <w:r w:rsidRPr="002D6241">
              <w:rPr>
                <w:rFonts w:ascii="Calibri" w:hAnsi="Calibri" w:cs="Calibri"/>
                <w:b/>
                <w:bCs/>
                <w:sz w:val="24"/>
                <w:szCs w:val="24"/>
              </w:rPr>
              <w:t>Merch.</w:t>
            </w:r>
          </w:p>
          <w:p w14:paraId="5BA0FB38" w14:textId="77777777" w:rsidR="002D6241" w:rsidRPr="002D6241" w:rsidRDefault="002D6241" w:rsidP="002D6241">
            <w:pPr>
              <w:kinsoku w:val="0"/>
              <w:overflowPunct w:val="0"/>
              <w:autoSpaceDE w:val="0"/>
              <w:autoSpaceDN w:val="0"/>
              <w:adjustRightInd w:val="0"/>
              <w:spacing w:before="20" w:after="0" w:line="240" w:lineRule="auto"/>
              <w:ind w:left="262"/>
              <w:rPr>
                <w:rFonts w:ascii="Calibri" w:hAnsi="Calibri" w:cs="Calibri"/>
                <w:b/>
                <w:bCs/>
                <w:position w:val="8"/>
                <w:sz w:val="16"/>
                <w:szCs w:val="16"/>
              </w:rPr>
            </w:pPr>
            <w:r w:rsidRPr="002D6241">
              <w:rPr>
                <w:rFonts w:ascii="Calibri" w:hAnsi="Calibri" w:cs="Calibri"/>
                <w:b/>
                <w:bCs/>
                <w:sz w:val="24"/>
                <w:szCs w:val="24"/>
              </w:rPr>
              <w:t>12.5</w:t>
            </w:r>
            <w:r w:rsidRPr="002D6241">
              <w:rPr>
                <w:rFonts w:ascii="Calibri" w:hAnsi="Calibri" w:cs="Calibri"/>
                <w:b/>
                <w:bCs/>
                <w:position w:val="8"/>
                <w:sz w:val="16"/>
                <w:szCs w:val="16"/>
              </w:rPr>
              <w:t>+</w:t>
            </w:r>
          </w:p>
        </w:tc>
        <w:tc>
          <w:tcPr>
            <w:tcW w:w="1271" w:type="dxa"/>
            <w:tcBorders>
              <w:top w:val="single" w:sz="8" w:space="0" w:color="000000"/>
              <w:left w:val="single" w:sz="12" w:space="0" w:color="000000"/>
              <w:bottom w:val="single" w:sz="12" w:space="0" w:color="000000"/>
              <w:right w:val="single" w:sz="8" w:space="0" w:color="000000"/>
            </w:tcBorders>
          </w:tcPr>
          <w:p w14:paraId="49D28D8D" w14:textId="77777777" w:rsidR="002D6241" w:rsidRPr="002D6241" w:rsidRDefault="002D6241" w:rsidP="002D6241">
            <w:pPr>
              <w:kinsoku w:val="0"/>
              <w:overflowPunct w:val="0"/>
              <w:autoSpaceDE w:val="0"/>
              <w:autoSpaceDN w:val="0"/>
              <w:adjustRightInd w:val="0"/>
              <w:spacing w:before="6" w:after="0" w:line="240" w:lineRule="auto"/>
              <w:ind w:left="393"/>
              <w:rPr>
                <w:rFonts w:ascii="Calibri" w:hAnsi="Calibri" w:cs="Calibri"/>
                <w:b/>
                <w:bCs/>
                <w:sz w:val="24"/>
                <w:szCs w:val="24"/>
              </w:rPr>
            </w:pPr>
            <w:r w:rsidRPr="002D6241">
              <w:rPr>
                <w:rFonts w:ascii="Calibri" w:hAnsi="Calibri" w:cs="Calibri"/>
                <w:b/>
                <w:bCs/>
                <w:sz w:val="24"/>
                <w:szCs w:val="24"/>
              </w:rPr>
              <w:t>TASS</w:t>
            </w:r>
          </w:p>
          <w:p w14:paraId="2D8D3DE1" w14:textId="77777777" w:rsidR="002D6241" w:rsidRPr="002D6241" w:rsidRDefault="002D6241" w:rsidP="002D6241">
            <w:pPr>
              <w:kinsoku w:val="0"/>
              <w:overflowPunct w:val="0"/>
              <w:autoSpaceDE w:val="0"/>
              <w:autoSpaceDN w:val="0"/>
              <w:adjustRightInd w:val="0"/>
              <w:spacing w:before="24" w:after="0" w:line="240" w:lineRule="auto"/>
              <w:ind w:left="258"/>
              <w:rPr>
                <w:rFonts w:ascii="Calibri" w:hAnsi="Calibri" w:cs="Calibri"/>
                <w:b/>
                <w:bCs/>
                <w:sz w:val="24"/>
                <w:szCs w:val="24"/>
              </w:rPr>
            </w:pPr>
            <w:r w:rsidRPr="002D6241">
              <w:rPr>
                <w:rFonts w:ascii="Calibri" w:hAnsi="Calibri" w:cs="Calibri"/>
                <w:b/>
                <w:bCs/>
                <w:sz w:val="24"/>
                <w:szCs w:val="24"/>
              </w:rPr>
              <w:t>Version</w:t>
            </w:r>
          </w:p>
        </w:tc>
        <w:tc>
          <w:tcPr>
            <w:tcW w:w="973" w:type="dxa"/>
            <w:tcBorders>
              <w:top w:val="single" w:sz="8" w:space="0" w:color="000000"/>
              <w:left w:val="single" w:sz="8" w:space="0" w:color="000000"/>
              <w:bottom w:val="single" w:sz="12" w:space="0" w:color="000000"/>
              <w:right w:val="single" w:sz="8" w:space="0" w:color="000000"/>
            </w:tcBorders>
          </w:tcPr>
          <w:p w14:paraId="1E8BAA8C" w14:textId="77777777" w:rsidR="002D6241" w:rsidRPr="002D6241" w:rsidRDefault="002D6241" w:rsidP="002D6241">
            <w:pPr>
              <w:kinsoku w:val="0"/>
              <w:overflowPunct w:val="0"/>
              <w:autoSpaceDE w:val="0"/>
              <w:autoSpaceDN w:val="0"/>
              <w:adjustRightInd w:val="0"/>
              <w:spacing w:before="164" w:after="0" w:line="240" w:lineRule="auto"/>
              <w:ind w:left="215" w:right="182"/>
              <w:jc w:val="center"/>
              <w:rPr>
                <w:rFonts w:ascii="Calibri" w:hAnsi="Calibri" w:cs="Calibri"/>
                <w:b/>
                <w:bCs/>
                <w:sz w:val="24"/>
                <w:szCs w:val="24"/>
              </w:rPr>
            </w:pPr>
            <w:r w:rsidRPr="002D6241">
              <w:rPr>
                <w:rFonts w:ascii="Calibri" w:hAnsi="Calibri" w:cs="Calibri"/>
                <w:b/>
                <w:bCs/>
                <w:sz w:val="24"/>
                <w:szCs w:val="24"/>
              </w:rPr>
              <w:t>Total</w:t>
            </w:r>
          </w:p>
        </w:tc>
        <w:tc>
          <w:tcPr>
            <w:tcW w:w="1016" w:type="dxa"/>
            <w:tcBorders>
              <w:top w:val="single" w:sz="8" w:space="0" w:color="000000"/>
              <w:left w:val="single" w:sz="8" w:space="0" w:color="000000"/>
              <w:bottom w:val="single" w:sz="12" w:space="0" w:color="000000"/>
              <w:right w:val="single" w:sz="12" w:space="0" w:color="000000"/>
            </w:tcBorders>
          </w:tcPr>
          <w:p w14:paraId="6F1A6D1C" w14:textId="77777777" w:rsidR="002D6241" w:rsidRPr="002D6241" w:rsidRDefault="002D6241" w:rsidP="002D6241">
            <w:pPr>
              <w:kinsoku w:val="0"/>
              <w:overflowPunct w:val="0"/>
              <w:autoSpaceDE w:val="0"/>
              <w:autoSpaceDN w:val="0"/>
              <w:adjustRightInd w:val="0"/>
              <w:spacing w:before="6" w:after="0" w:line="240" w:lineRule="auto"/>
              <w:ind w:left="164"/>
              <w:rPr>
                <w:rFonts w:ascii="Calibri" w:hAnsi="Calibri" w:cs="Calibri"/>
                <w:b/>
                <w:bCs/>
                <w:sz w:val="24"/>
                <w:szCs w:val="24"/>
              </w:rPr>
            </w:pPr>
            <w:r w:rsidRPr="002D6241">
              <w:rPr>
                <w:rFonts w:ascii="Calibri" w:hAnsi="Calibri" w:cs="Calibri"/>
                <w:b/>
                <w:bCs/>
                <w:sz w:val="24"/>
                <w:szCs w:val="24"/>
              </w:rPr>
              <w:t>Merch.</w:t>
            </w:r>
          </w:p>
          <w:p w14:paraId="63D8CA79" w14:textId="77777777" w:rsidR="002D6241" w:rsidRPr="002D6241" w:rsidRDefault="002D6241" w:rsidP="002D6241">
            <w:pPr>
              <w:kinsoku w:val="0"/>
              <w:overflowPunct w:val="0"/>
              <w:autoSpaceDE w:val="0"/>
              <w:autoSpaceDN w:val="0"/>
              <w:adjustRightInd w:val="0"/>
              <w:spacing w:before="24" w:after="0" w:line="240" w:lineRule="auto"/>
              <w:ind w:left="245"/>
              <w:rPr>
                <w:rFonts w:ascii="Calibri" w:hAnsi="Calibri" w:cs="Calibri"/>
                <w:b/>
                <w:bCs/>
                <w:sz w:val="24"/>
                <w:szCs w:val="24"/>
              </w:rPr>
            </w:pPr>
            <w:r w:rsidRPr="002D6241">
              <w:rPr>
                <w:rFonts w:ascii="Calibri" w:hAnsi="Calibri" w:cs="Calibri"/>
                <w:b/>
                <w:bCs/>
                <w:sz w:val="24"/>
                <w:szCs w:val="24"/>
              </w:rPr>
              <w:t>12.5+</w:t>
            </w:r>
          </w:p>
        </w:tc>
        <w:tc>
          <w:tcPr>
            <w:tcW w:w="978" w:type="dxa"/>
            <w:tcBorders>
              <w:top w:val="single" w:sz="8" w:space="0" w:color="000000"/>
              <w:left w:val="single" w:sz="12" w:space="0" w:color="000000"/>
              <w:bottom w:val="single" w:sz="12" w:space="0" w:color="000000"/>
              <w:right w:val="single" w:sz="8" w:space="0" w:color="000000"/>
            </w:tcBorders>
          </w:tcPr>
          <w:p w14:paraId="0EDC752D" w14:textId="77777777" w:rsidR="002D6241" w:rsidRPr="002D6241" w:rsidRDefault="002D6241" w:rsidP="002D6241">
            <w:pPr>
              <w:kinsoku w:val="0"/>
              <w:overflowPunct w:val="0"/>
              <w:autoSpaceDE w:val="0"/>
              <w:autoSpaceDN w:val="0"/>
              <w:adjustRightInd w:val="0"/>
              <w:spacing w:before="164" w:after="0" w:line="240" w:lineRule="auto"/>
              <w:ind w:left="218" w:right="179"/>
              <w:jc w:val="center"/>
              <w:rPr>
                <w:rFonts w:ascii="Calibri" w:hAnsi="Calibri" w:cs="Calibri"/>
                <w:b/>
                <w:bCs/>
                <w:sz w:val="24"/>
                <w:szCs w:val="24"/>
              </w:rPr>
            </w:pPr>
            <w:r w:rsidRPr="002D6241">
              <w:rPr>
                <w:rFonts w:ascii="Calibri" w:hAnsi="Calibri" w:cs="Calibri"/>
                <w:b/>
                <w:bCs/>
                <w:sz w:val="24"/>
                <w:szCs w:val="24"/>
              </w:rPr>
              <w:t>Total</w:t>
            </w:r>
          </w:p>
        </w:tc>
        <w:tc>
          <w:tcPr>
            <w:tcW w:w="994" w:type="dxa"/>
            <w:tcBorders>
              <w:top w:val="single" w:sz="8" w:space="0" w:color="000000"/>
              <w:left w:val="single" w:sz="8" w:space="0" w:color="000000"/>
              <w:bottom w:val="single" w:sz="8" w:space="0" w:color="000000"/>
              <w:right w:val="single" w:sz="6" w:space="0" w:color="000000"/>
            </w:tcBorders>
          </w:tcPr>
          <w:p w14:paraId="3A88046F" w14:textId="77777777" w:rsidR="002D6241" w:rsidRPr="002D6241" w:rsidRDefault="002D6241" w:rsidP="002D6241">
            <w:pPr>
              <w:kinsoku w:val="0"/>
              <w:overflowPunct w:val="0"/>
              <w:autoSpaceDE w:val="0"/>
              <w:autoSpaceDN w:val="0"/>
              <w:adjustRightInd w:val="0"/>
              <w:spacing w:before="6" w:after="0" w:line="240" w:lineRule="auto"/>
              <w:ind w:left="188"/>
              <w:rPr>
                <w:rFonts w:ascii="Calibri" w:hAnsi="Calibri" w:cs="Calibri"/>
                <w:b/>
                <w:bCs/>
                <w:sz w:val="24"/>
                <w:szCs w:val="24"/>
              </w:rPr>
            </w:pPr>
            <w:r w:rsidRPr="002D6241">
              <w:rPr>
                <w:rFonts w:ascii="Calibri" w:hAnsi="Calibri" w:cs="Calibri"/>
                <w:b/>
                <w:bCs/>
                <w:sz w:val="24"/>
                <w:szCs w:val="24"/>
              </w:rPr>
              <w:t>Merch</w:t>
            </w:r>
          </w:p>
          <w:p w14:paraId="0F1EDBF0" w14:textId="77777777" w:rsidR="002D6241" w:rsidRPr="002D6241" w:rsidRDefault="002D6241" w:rsidP="002D6241">
            <w:pPr>
              <w:kinsoku w:val="0"/>
              <w:overflowPunct w:val="0"/>
              <w:autoSpaceDE w:val="0"/>
              <w:autoSpaceDN w:val="0"/>
              <w:adjustRightInd w:val="0"/>
              <w:spacing w:before="24" w:after="0" w:line="240" w:lineRule="auto"/>
              <w:ind w:left="236"/>
              <w:rPr>
                <w:rFonts w:ascii="Calibri" w:hAnsi="Calibri" w:cs="Calibri"/>
                <w:b/>
                <w:bCs/>
                <w:sz w:val="24"/>
                <w:szCs w:val="24"/>
              </w:rPr>
            </w:pPr>
            <w:r w:rsidRPr="002D6241">
              <w:rPr>
                <w:rFonts w:ascii="Calibri" w:hAnsi="Calibri" w:cs="Calibri"/>
                <w:b/>
                <w:bCs/>
                <w:sz w:val="24"/>
                <w:szCs w:val="24"/>
              </w:rPr>
              <w:t>12.5+</w:t>
            </w:r>
          </w:p>
        </w:tc>
      </w:tr>
      <w:tr w:rsidR="002D6241" w:rsidRPr="002D6241" w14:paraId="5348C3C2" w14:textId="77777777" w:rsidTr="002D6241">
        <w:trPr>
          <w:trHeight w:val="315"/>
        </w:trPr>
        <w:tc>
          <w:tcPr>
            <w:tcW w:w="1022" w:type="dxa"/>
            <w:tcBorders>
              <w:top w:val="single" w:sz="12" w:space="0" w:color="000000"/>
              <w:left w:val="single" w:sz="12" w:space="0" w:color="000000"/>
              <w:bottom w:val="single" w:sz="8" w:space="0" w:color="000000"/>
              <w:right w:val="single" w:sz="12" w:space="0" w:color="000000"/>
            </w:tcBorders>
          </w:tcPr>
          <w:p w14:paraId="3F80715F" w14:textId="77777777" w:rsidR="002D6241" w:rsidRPr="002D6241" w:rsidRDefault="002D6241" w:rsidP="002D6241">
            <w:pPr>
              <w:kinsoku w:val="0"/>
              <w:overflowPunct w:val="0"/>
              <w:autoSpaceDE w:val="0"/>
              <w:autoSpaceDN w:val="0"/>
              <w:adjustRightInd w:val="0"/>
              <w:spacing w:before="1" w:after="0" w:line="240" w:lineRule="auto"/>
              <w:ind w:left="304" w:right="273"/>
              <w:jc w:val="center"/>
              <w:rPr>
                <w:rFonts w:ascii="Calibri" w:hAnsi="Calibri" w:cs="Calibri"/>
                <w:sz w:val="24"/>
                <w:szCs w:val="24"/>
              </w:rPr>
            </w:pPr>
            <w:r w:rsidRPr="002D6241">
              <w:rPr>
                <w:rFonts w:ascii="Calibri" w:hAnsi="Calibri" w:cs="Calibri"/>
                <w:sz w:val="24"/>
                <w:szCs w:val="24"/>
              </w:rPr>
              <w:t>Bl</w:t>
            </w:r>
          </w:p>
        </w:tc>
        <w:tc>
          <w:tcPr>
            <w:tcW w:w="1070" w:type="dxa"/>
            <w:tcBorders>
              <w:top w:val="single" w:sz="12" w:space="0" w:color="000000"/>
              <w:left w:val="single" w:sz="12" w:space="0" w:color="000000"/>
              <w:bottom w:val="single" w:sz="8" w:space="0" w:color="000000"/>
              <w:right w:val="single" w:sz="8" w:space="0" w:color="000000"/>
            </w:tcBorders>
          </w:tcPr>
          <w:p w14:paraId="3D8A25AD" w14:textId="77777777" w:rsidR="002D6241" w:rsidRPr="002D6241" w:rsidRDefault="002D6241" w:rsidP="002D6241">
            <w:pPr>
              <w:kinsoku w:val="0"/>
              <w:overflowPunct w:val="0"/>
              <w:autoSpaceDE w:val="0"/>
              <w:autoSpaceDN w:val="0"/>
              <w:adjustRightInd w:val="0"/>
              <w:spacing w:before="1" w:after="0" w:line="240" w:lineRule="auto"/>
              <w:ind w:left="85" w:right="63"/>
              <w:jc w:val="center"/>
              <w:rPr>
                <w:rFonts w:ascii="Calibri" w:hAnsi="Calibri" w:cs="Calibri"/>
                <w:sz w:val="24"/>
                <w:szCs w:val="24"/>
              </w:rPr>
            </w:pPr>
            <w:r w:rsidRPr="002D6241">
              <w:rPr>
                <w:rFonts w:ascii="Calibri" w:hAnsi="Calibri" w:cs="Calibri"/>
                <w:sz w:val="24"/>
                <w:szCs w:val="24"/>
              </w:rPr>
              <w:t>2.05.24b</w:t>
            </w:r>
          </w:p>
        </w:tc>
        <w:tc>
          <w:tcPr>
            <w:tcW w:w="974" w:type="dxa"/>
            <w:tcBorders>
              <w:top w:val="single" w:sz="12" w:space="0" w:color="000000"/>
              <w:left w:val="single" w:sz="8" w:space="0" w:color="000000"/>
              <w:bottom w:val="single" w:sz="8" w:space="0" w:color="000000"/>
              <w:right w:val="single" w:sz="8" w:space="0" w:color="000000"/>
            </w:tcBorders>
          </w:tcPr>
          <w:p w14:paraId="77D4215B" w14:textId="77777777" w:rsidR="002D6241" w:rsidRPr="002D6241" w:rsidRDefault="002D6241" w:rsidP="002D6241">
            <w:pPr>
              <w:kinsoku w:val="0"/>
              <w:overflowPunct w:val="0"/>
              <w:autoSpaceDE w:val="0"/>
              <w:autoSpaceDN w:val="0"/>
              <w:adjustRightInd w:val="0"/>
              <w:spacing w:before="1" w:after="0" w:line="240" w:lineRule="auto"/>
              <w:ind w:left="216" w:right="189"/>
              <w:jc w:val="center"/>
              <w:rPr>
                <w:rFonts w:ascii="Calibri" w:hAnsi="Calibri" w:cs="Calibri"/>
                <w:sz w:val="24"/>
                <w:szCs w:val="24"/>
              </w:rPr>
            </w:pPr>
            <w:r w:rsidRPr="002D6241">
              <w:rPr>
                <w:rFonts w:ascii="Calibri" w:hAnsi="Calibri" w:cs="Calibri"/>
                <w:sz w:val="24"/>
                <w:szCs w:val="24"/>
              </w:rPr>
              <w:t>481</w:t>
            </w:r>
          </w:p>
        </w:tc>
        <w:tc>
          <w:tcPr>
            <w:tcW w:w="1017" w:type="dxa"/>
            <w:tcBorders>
              <w:top w:val="single" w:sz="12" w:space="0" w:color="000000"/>
              <w:left w:val="single" w:sz="8" w:space="0" w:color="000000"/>
              <w:bottom w:val="single" w:sz="8" w:space="0" w:color="000000"/>
              <w:right w:val="single" w:sz="12" w:space="0" w:color="000000"/>
            </w:tcBorders>
          </w:tcPr>
          <w:p w14:paraId="20109327" w14:textId="77777777" w:rsidR="002D6241" w:rsidRPr="002D6241" w:rsidRDefault="002D6241" w:rsidP="002D6241">
            <w:pPr>
              <w:kinsoku w:val="0"/>
              <w:overflowPunct w:val="0"/>
              <w:autoSpaceDE w:val="0"/>
              <w:autoSpaceDN w:val="0"/>
              <w:adjustRightInd w:val="0"/>
              <w:spacing w:before="1" w:after="0" w:line="240" w:lineRule="auto"/>
              <w:ind w:left="313" w:right="273"/>
              <w:jc w:val="center"/>
              <w:rPr>
                <w:rFonts w:ascii="Calibri" w:hAnsi="Calibri" w:cs="Calibri"/>
                <w:sz w:val="24"/>
                <w:szCs w:val="24"/>
              </w:rPr>
            </w:pPr>
            <w:r w:rsidRPr="002D6241">
              <w:rPr>
                <w:rFonts w:ascii="Calibri" w:hAnsi="Calibri" w:cs="Calibri"/>
                <w:sz w:val="24"/>
                <w:szCs w:val="24"/>
              </w:rPr>
              <w:t>441</w:t>
            </w:r>
          </w:p>
        </w:tc>
        <w:tc>
          <w:tcPr>
            <w:tcW w:w="1271" w:type="dxa"/>
            <w:tcBorders>
              <w:top w:val="single" w:sz="12" w:space="0" w:color="000000"/>
              <w:left w:val="single" w:sz="12" w:space="0" w:color="000000"/>
              <w:bottom w:val="single" w:sz="8" w:space="0" w:color="000000"/>
              <w:right w:val="single" w:sz="8" w:space="0" w:color="000000"/>
            </w:tcBorders>
          </w:tcPr>
          <w:p w14:paraId="36E9F2A5" w14:textId="77777777" w:rsidR="002D6241" w:rsidRPr="002D6241" w:rsidRDefault="002D6241" w:rsidP="002D6241">
            <w:pPr>
              <w:kinsoku w:val="0"/>
              <w:overflowPunct w:val="0"/>
              <w:autoSpaceDE w:val="0"/>
              <w:autoSpaceDN w:val="0"/>
              <w:adjustRightInd w:val="0"/>
              <w:spacing w:before="1" w:after="0" w:line="240" w:lineRule="auto"/>
              <w:ind w:left="91" w:right="60"/>
              <w:jc w:val="center"/>
              <w:rPr>
                <w:rFonts w:ascii="Calibri" w:hAnsi="Calibri" w:cs="Calibri"/>
                <w:sz w:val="24"/>
                <w:szCs w:val="24"/>
              </w:rPr>
            </w:pPr>
            <w:r w:rsidRPr="002D6241">
              <w:rPr>
                <w:rFonts w:ascii="Calibri" w:hAnsi="Calibri" w:cs="Calibri"/>
                <w:sz w:val="24"/>
                <w:szCs w:val="24"/>
              </w:rPr>
              <w:t>3.01.15W</w:t>
            </w:r>
          </w:p>
        </w:tc>
        <w:tc>
          <w:tcPr>
            <w:tcW w:w="973" w:type="dxa"/>
            <w:tcBorders>
              <w:top w:val="single" w:sz="12" w:space="0" w:color="000000"/>
              <w:left w:val="single" w:sz="8" w:space="0" w:color="000000"/>
              <w:bottom w:val="single" w:sz="8" w:space="0" w:color="000000"/>
              <w:right w:val="single" w:sz="8" w:space="0" w:color="000000"/>
            </w:tcBorders>
          </w:tcPr>
          <w:p w14:paraId="480E759D" w14:textId="77777777" w:rsidR="002D6241" w:rsidRPr="002D6241" w:rsidRDefault="002D6241" w:rsidP="002D6241">
            <w:pPr>
              <w:kinsoku w:val="0"/>
              <w:overflowPunct w:val="0"/>
              <w:autoSpaceDE w:val="0"/>
              <w:autoSpaceDN w:val="0"/>
              <w:adjustRightInd w:val="0"/>
              <w:spacing w:before="1" w:after="0" w:line="240" w:lineRule="auto"/>
              <w:ind w:left="215" w:right="182"/>
              <w:jc w:val="center"/>
              <w:rPr>
                <w:rFonts w:ascii="Calibri" w:hAnsi="Calibri" w:cs="Calibri"/>
                <w:sz w:val="24"/>
                <w:szCs w:val="24"/>
              </w:rPr>
            </w:pPr>
            <w:r w:rsidRPr="002D6241">
              <w:rPr>
                <w:rFonts w:ascii="Calibri" w:hAnsi="Calibri" w:cs="Calibri"/>
                <w:sz w:val="24"/>
                <w:szCs w:val="24"/>
              </w:rPr>
              <w:t>417</w:t>
            </w:r>
          </w:p>
        </w:tc>
        <w:tc>
          <w:tcPr>
            <w:tcW w:w="1016" w:type="dxa"/>
            <w:tcBorders>
              <w:top w:val="single" w:sz="12" w:space="0" w:color="000000"/>
              <w:left w:val="single" w:sz="8" w:space="0" w:color="000000"/>
              <w:bottom w:val="single" w:sz="8" w:space="0" w:color="000000"/>
              <w:right w:val="single" w:sz="12" w:space="0" w:color="000000"/>
            </w:tcBorders>
          </w:tcPr>
          <w:p w14:paraId="6DC2E16C" w14:textId="77777777" w:rsidR="002D6241" w:rsidRPr="002D6241" w:rsidRDefault="002D6241" w:rsidP="002D6241">
            <w:pPr>
              <w:kinsoku w:val="0"/>
              <w:overflowPunct w:val="0"/>
              <w:autoSpaceDE w:val="0"/>
              <w:autoSpaceDN w:val="0"/>
              <w:adjustRightInd w:val="0"/>
              <w:spacing w:before="1" w:after="0" w:line="240" w:lineRule="auto"/>
              <w:ind w:left="316" w:right="269"/>
              <w:jc w:val="center"/>
              <w:rPr>
                <w:rFonts w:ascii="Calibri" w:hAnsi="Calibri" w:cs="Calibri"/>
                <w:sz w:val="24"/>
                <w:szCs w:val="24"/>
              </w:rPr>
            </w:pPr>
            <w:r w:rsidRPr="002D6241">
              <w:rPr>
                <w:rFonts w:ascii="Calibri" w:hAnsi="Calibri" w:cs="Calibri"/>
                <w:sz w:val="24"/>
                <w:szCs w:val="24"/>
              </w:rPr>
              <w:t>376</w:t>
            </w:r>
          </w:p>
        </w:tc>
        <w:tc>
          <w:tcPr>
            <w:tcW w:w="978" w:type="dxa"/>
            <w:tcBorders>
              <w:top w:val="single" w:sz="12" w:space="0" w:color="000000"/>
              <w:left w:val="single" w:sz="12" w:space="0" w:color="000000"/>
              <w:bottom w:val="single" w:sz="8" w:space="0" w:color="000000"/>
              <w:right w:val="single" w:sz="8" w:space="0" w:color="000000"/>
            </w:tcBorders>
          </w:tcPr>
          <w:p w14:paraId="684EE0D2" w14:textId="77777777" w:rsidR="002D6241" w:rsidRPr="002D6241" w:rsidRDefault="002D6241" w:rsidP="002D6241">
            <w:pPr>
              <w:kinsoku w:val="0"/>
              <w:overflowPunct w:val="0"/>
              <w:autoSpaceDE w:val="0"/>
              <w:autoSpaceDN w:val="0"/>
              <w:adjustRightInd w:val="0"/>
              <w:spacing w:before="1" w:after="0" w:line="240" w:lineRule="auto"/>
              <w:ind w:left="218" w:right="179"/>
              <w:jc w:val="center"/>
              <w:rPr>
                <w:rFonts w:ascii="Calibri" w:hAnsi="Calibri" w:cs="Calibri"/>
                <w:sz w:val="24"/>
                <w:szCs w:val="24"/>
              </w:rPr>
            </w:pPr>
            <w:r w:rsidRPr="002D6241">
              <w:rPr>
                <w:rFonts w:ascii="Calibri" w:hAnsi="Calibri" w:cs="Calibri"/>
                <w:sz w:val="24"/>
                <w:szCs w:val="24"/>
              </w:rPr>
              <w:t>-13.3</w:t>
            </w:r>
          </w:p>
        </w:tc>
        <w:tc>
          <w:tcPr>
            <w:tcW w:w="994" w:type="dxa"/>
            <w:tcBorders>
              <w:top w:val="single" w:sz="8" w:space="0" w:color="000000"/>
              <w:left w:val="single" w:sz="8" w:space="0" w:color="000000"/>
              <w:bottom w:val="single" w:sz="8" w:space="0" w:color="000000"/>
              <w:right w:val="single" w:sz="6" w:space="0" w:color="000000"/>
            </w:tcBorders>
          </w:tcPr>
          <w:p w14:paraId="3513CA68" w14:textId="77777777" w:rsidR="002D6241" w:rsidRPr="002D6241" w:rsidRDefault="002D6241" w:rsidP="002D6241">
            <w:pPr>
              <w:kinsoku w:val="0"/>
              <w:overflowPunct w:val="0"/>
              <w:autoSpaceDE w:val="0"/>
              <w:autoSpaceDN w:val="0"/>
              <w:adjustRightInd w:val="0"/>
              <w:spacing w:before="1" w:after="0" w:line="240" w:lineRule="auto"/>
              <w:ind w:left="261"/>
              <w:rPr>
                <w:rFonts w:ascii="Calibri" w:hAnsi="Calibri" w:cs="Calibri"/>
                <w:sz w:val="24"/>
                <w:szCs w:val="24"/>
              </w:rPr>
            </w:pPr>
            <w:r w:rsidRPr="002D6241">
              <w:rPr>
                <w:rFonts w:ascii="Calibri" w:hAnsi="Calibri" w:cs="Calibri"/>
                <w:sz w:val="24"/>
                <w:szCs w:val="24"/>
              </w:rPr>
              <w:t>-14.7</w:t>
            </w:r>
          </w:p>
        </w:tc>
      </w:tr>
      <w:tr w:rsidR="002D6241" w:rsidRPr="002D6241" w14:paraId="6FC7DFEA" w14:textId="77777777" w:rsidTr="002D6241">
        <w:trPr>
          <w:trHeight w:val="315"/>
        </w:trPr>
        <w:tc>
          <w:tcPr>
            <w:tcW w:w="1022" w:type="dxa"/>
            <w:tcBorders>
              <w:top w:val="single" w:sz="8" w:space="0" w:color="000000"/>
              <w:left w:val="single" w:sz="12" w:space="0" w:color="000000"/>
              <w:bottom w:val="single" w:sz="8" w:space="0" w:color="000000"/>
              <w:right w:val="single" w:sz="12" w:space="0" w:color="000000"/>
            </w:tcBorders>
          </w:tcPr>
          <w:p w14:paraId="298ACA5C" w14:textId="77777777" w:rsidR="002D6241" w:rsidRPr="002D6241" w:rsidRDefault="002D6241" w:rsidP="002D6241">
            <w:pPr>
              <w:kinsoku w:val="0"/>
              <w:overflowPunct w:val="0"/>
              <w:autoSpaceDE w:val="0"/>
              <w:autoSpaceDN w:val="0"/>
              <w:adjustRightInd w:val="0"/>
              <w:spacing w:before="1" w:after="0" w:line="240" w:lineRule="auto"/>
              <w:ind w:left="304" w:right="273"/>
              <w:jc w:val="center"/>
              <w:rPr>
                <w:rFonts w:ascii="Calibri" w:hAnsi="Calibri" w:cs="Calibri"/>
                <w:sz w:val="24"/>
                <w:szCs w:val="24"/>
              </w:rPr>
            </w:pPr>
            <w:proofErr w:type="spellStart"/>
            <w:r w:rsidRPr="002D6241">
              <w:rPr>
                <w:rFonts w:ascii="Calibri" w:hAnsi="Calibri" w:cs="Calibri"/>
                <w:sz w:val="24"/>
                <w:szCs w:val="24"/>
              </w:rPr>
              <w:t>Fd</w:t>
            </w:r>
            <w:proofErr w:type="spellEnd"/>
          </w:p>
        </w:tc>
        <w:tc>
          <w:tcPr>
            <w:tcW w:w="1070" w:type="dxa"/>
            <w:tcBorders>
              <w:top w:val="single" w:sz="8" w:space="0" w:color="000000"/>
              <w:left w:val="single" w:sz="12" w:space="0" w:color="000000"/>
              <w:bottom w:val="single" w:sz="8" w:space="0" w:color="000000"/>
              <w:right w:val="single" w:sz="8" w:space="0" w:color="000000"/>
            </w:tcBorders>
          </w:tcPr>
          <w:p w14:paraId="4C81FFF1" w14:textId="77777777" w:rsidR="002D6241" w:rsidRPr="002D6241" w:rsidRDefault="002D6241" w:rsidP="002D6241">
            <w:pPr>
              <w:kinsoku w:val="0"/>
              <w:overflowPunct w:val="0"/>
              <w:autoSpaceDE w:val="0"/>
              <w:autoSpaceDN w:val="0"/>
              <w:adjustRightInd w:val="0"/>
              <w:spacing w:before="1" w:after="0" w:line="240" w:lineRule="auto"/>
              <w:ind w:left="85" w:right="63"/>
              <w:jc w:val="center"/>
              <w:rPr>
                <w:rFonts w:ascii="Calibri" w:hAnsi="Calibri" w:cs="Calibri"/>
                <w:sz w:val="24"/>
                <w:szCs w:val="24"/>
              </w:rPr>
            </w:pPr>
            <w:r w:rsidRPr="002D6241">
              <w:rPr>
                <w:rFonts w:ascii="Calibri" w:hAnsi="Calibri" w:cs="Calibri"/>
                <w:sz w:val="24"/>
                <w:szCs w:val="24"/>
              </w:rPr>
              <w:t>2.05.24b</w:t>
            </w:r>
          </w:p>
        </w:tc>
        <w:tc>
          <w:tcPr>
            <w:tcW w:w="974" w:type="dxa"/>
            <w:tcBorders>
              <w:top w:val="single" w:sz="8" w:space="0" w:color="000000"/>
              <w:left w:val="single" w:sz="8" w:space="0" w:color="000000"/>
              <w:bottom w:val="single" w:sz="8" w:space="0" w:color="000000"/>
              <w:right w:val="single" w:sz="8" w:space="0" w:color="000000"/>
            </w:tcBorders>
          </w:tcPr>
          <w:p w14:paraId="32449632" w14:textId="77777777" w:rsidR="002D6241" w:rsidRPr="002D6241" w:rsidRDefault="002D6241" w:rsidP="002D6241">
            <w:pPr>
              <w:kinsoku w:val="0"/>
              <w:overflowPunct w:val="0"/>
              <w:autoSpaceDE w:val="0"/>
              <w:autoSpaceDN w:val="0"/>
              <w:adjustRightInd w:val="0"/>
              <w:spacing w:before="1" w:after="0" w:line="240" w:lineRule="auto"/>
              <w:ind w:left="216" w:right="189"/>
              <w:jc w:val="center"/>
              <w:rPr>
                <w:rFonts w:ascii="Calibri" w:hAnsi="Calibri" w:cs="Calibri"/>
                <w:sz w:val="24"/>
                <w:szCs w:val="24"/>
              </w:rPr>
            </w:pPr>
            <w:r w:rsidRPr="002D6241">
              <w:rPr>
                <w:rFonts w:ascii="Calibri" w:hAnsi="Calibri" w:cs="Calibri"/>
                <w:sz w:val="24"/>
                <w:szCs w:val="24"/>
              </w:rPr>
              <w:t>415</w:t>
            </w:r>
          </w:p>
        </w:tc>
        <w:tc>
          <w:tcPr>
            <w:tcW w:w="1017" w:type="dxa"/>
            <w:tcBorders>
              <w:top w:val="single" w:sz="8" w:space="0" w:color="000000"/>
              <w:left w:val="single" w:sz="8" w:space="0" w:color="000000"/>
              <w:bottom w:val="single" w:sz="8" w:space="0" w:color="000000"/>
              <w:right w:val="single" w:sz="12" w:space="0" w:color="000000"/>
            </w:tcBorders>
          </w:tcPr>
          <w:p w14:paraId="0C42C73F" w14:textId="77777777" w:rsidR="002D6241" w:rsidRPr="002D6241" w:rsidRDefault="002D6241" w:rsidP="002D6241">
            <w:pPr>
              <w:kinsoku w:val="0"/>
              <w:overflowPunct w:val="0"/>
              <w:autoSpaceDE w:val="0"/>
              <w:autoSpaceDN w:val="0"/>
              <w:adjustRightInd w:val="0"/>
              <w:spacing w:before="1" w:after="0" w:line="240" w:lineRule="auto"/>
              <w:ind w:left="313" w:right="273"/>
              <w:jc w:val="center"/>
              <w:rPr>
                <w:rFonts w:ascii="Calibri" w:hAnsi="Calibri" w:cs="Calibri"/>
                <w:sz w:val="24"/>
                <w:szCs w:val="24"/>
              </w:rPr>
            </w:pPr>
            <w:r w:rsidRPr="002D6241">
              <w:rPr>
                <w:rFonts w:ascii="Calibri" w:hAnsi="Calibri" w:cs="Calibri"/>
                <w:sz w:val="24"/>
                <w:szCs w:val="24"/>
              </w:rPr>
              <w:t>375</w:t>
            </w:r>
          </w:p>
        </w:tc>
        <w:tc>
          <w:tcPr>
            <w:tcW w:w="1271" w:type="dxa"/>
            <w:tcBorders>
              <w:top w:val="single" w:sz="8" w:space="0" w:color="000000"/>
              <w:left w:val="single" w:sz="12" w:space="0" w:color="000000"/>
              <w:bottom w:val="single" w:sz="8" w:space="0" w:color="000000"/>
              <w:right w:val="single" w:sz="8" w:space="0" w:color="000000"/>
            </w:tcBorders>
          </w:tcPr>
          <w:p w14:paraId="78E26F82" w14:textId="77777777" w:rsidR="002D6241" w:rsidRPr="002D6241" w:rsidRDefault="002D6241" w:rsidP="002D6241">
            <w:pPr>
              <w:kinsoku w:val="0"/>
              <w:overflowPunct w:val="0"/>
              <w:autoSpaceDE w:val="0"/>
              <w:autoSpaceDN w:val="0"/>
              <w:adjustRightInd w:val="0"/>
              <w:spacing w:before="1" w:after="0" w:line="240" w:lineRule="auto"/>
              <w:ind w:left="91" w:right="60"/>
              <w:jc w:val="center"/>
              <w:rPr>
                <w:rFonts w:ascii="Calibri" w:hAnsi="Calibri" w:cs="Calibri"/>
                <w:sz w:val="24"/>
                <w:szCs w:val="24"/>
              </w:rPr>
            </w:pPr>
            <w:r w:rsidRPr="002D6241">
              <w:rPr>
                <w:rFonts w:ascii="Calibri" w:hAnsi="Calibri" w:cs="Calibri"/>
                <w:sz w:val="24"/>
                <w:szCs w:val="24"/>
              </w:rPr>
              <w:t>2.07.73WS</w:t>
            </w:r>
          </w:p>
        </w:tc>
        <w:tc>
          <w:tcPr>
            <w:tcW w:w="973" w:type="dxa"/>
            <w:tcBorders>
              <w:top w:val="single" w:sz="8" w:space="0" w:color="000000"/>
              <w:left w:val="single" w:sz="8" w:space="0" w:color="000000"/>
              <w:bottom w:val="single" w:sz="8" w:space="0" w:color="000000"/>
              <w:right w:val="single" w:sz="8" w:space="0" w:color="000000"/>
            </w:tcBorders>
          </w:tcPr>
          <w:p w14:paraId="21DCD433" w14:textId="77777777" w:rsidR="002D6241" w:rsidRPr="002D6241" w:rsidRDefault="002D6241" w:rsidP="002D6241">
            <w:pPr>
              <w:kinsoku w:val="0"/>
              <w:overflowPunct w:val="0"/>
              <w:autoSpaceDE w:val="0"/>
              <w:autoSpaceDN w:val="0"/>
              <w:adjustRightInd w:val="0"/>
              <w:spacing w:before="1" w:after="0" w:line="240" w:lineRule="auto"/>
              <w:ind w:left="215" w:right="182"/>
              <w:jc w:val="center"/>
              <w:rPr>
                <w:rFonts w:ascii="Calibri" w:hAnsi="Calibri" w:cs="Calibri"/>
                <w:sz w:val="24"/>
                <w:szCs w:val="24"/>
              </w:rPr>
            </w:pPr>
            <w:r w:rsidRPr="002D6241">
              <w:rPr>
                <w:rFonts w:ascii="Calibri" w:hAnsi="Calibri" w:cs="Calibri"/>
                <w:sz w:val="24"/>
                <w:szCs w:val="24"/>
              </w:rPr>
              <w:t>338</w:t>
            </w:r>
          </w:p>
        </w:tc>
        <w:tc>
          <w:tcPr>
            <w:tcW w:w="1016" w:type="dxa"/>
            <w:tcBorders>
              <w:top w:val="single" w:sz="8" w:space="0" w:color="000000"/>
              <w:left w:val="single" w:sz="8" w:space="0" w:color="000000"/>
              <w:bottom w:val="single" w:sz="8" w:space="0" w:color="000000"/>
              <w:right w:val="single" w:sz="12" w:space="0" w:color="000000"/>
            </w:tcBorders>
          </w:tcPr>
          <w:p w14:paraId="2FC579AD" w14:textId="77777777" w:rsidR="002D6241" w:rsidRPr="002D6241" w:rsidRDefault="002D6241" w:rsidP="002D6241">
            <w:pPr>
              <w:kinsoku w:val="0"/>
              <w:overflowPunct w:val="0"/>
              <w:autoSpaceDE w:val="0"/>
              <w:autoSpaceDN w:val="0"/>
              <w:adjustRightInd w:val="0"/>
              <w:spacing w:before="1" w:after="0" w:line="240" w:lineRule="auto"/>
              <w:ind w:left="316" w:right="269"/>
              <w:jc w:val="center"/>
              <w:rPr>
                <w:rFonts w:ascii="Calibri" w:hAnsi="Calibri" w:cs="Calibri"/>
                <w:sz w:val="24"/>
                <w:szCs w:val="24"/>
              </w:rPr>
            </w:pPr>
            <w:r w:rsidRPr="002D6241">
              <w:rPr>
                <w:rFonts w:ascii="Calibri" w:hAnsi="Calibri" w:cs="Calibri"/>
                <w:sz w:val="24"/>
                <w:szCs w:val="24"/>
              </w:rPr>
              <w:t>286</w:t>
            </w:r>
          </w:p>
        </w:tc>
        <w:tc>
          <w:tcPr>
            <w:tcW w:w="978" w:type="dxa"/>
            <w:tcBorders>
              <w:top w:val="single" w:sz="8" w:space="0" w:color="000000"/>
              <w:left w:val="single" w:sz="12" w:space="0" w:color="000000"/>
              <w:bottom w:val="single" w:sz="8" w:space="0" w:color="000000"/>
              <w:right w:val="single" w:sz="8" w:space="0" w:color="000000"/>
            </w:tcBorders>
          </w:tcPr>
          <w:p w14:paraId="45D9B0D2" w14:textId="77777777" w:rsidR="002D6241" w:rsidRPr="002D6241" w:rsidRDefault="002D6241" w:rsidP="002D6241">
            <w:pPr>
              <w:kinsoku w:val="0"/>
              <w:overflowPunct w:val="0"/>
              <w:autoSpaceDE w:val="0"/>
              <w:autoSpaceDN w:val="0"/>
              <w:adjustRightInd w:val="0"/>
              <w:spacing w:before="1" w:after="0" w:line="240" w:lineRule="auto"/>
              <w:ind w:left="218" w:right="179"/>
              <w:jc w:val="center"/>
              <w:rPr>
                <w:rFonts w:ascii="Calibri" w:hAnsi="Calibri" w:cs="Calibri"/>
                <w:sz w:val="24"/>
                <w:szCs w:val="24"/>
              </w:rPr>
            </w:pPr>
            <w:r w:rsidRPr="002D6241">
              <w:rPr>
                <w:rFonts w:ascii="Calibri" w:hAnsi="Calibri" w:cs="Calibri"/>
                <w:sz w:val="24"/>
                <w:szCs w:val="24"/>
              </w:rPr>
              <w:t>-18.6</w:t>
            </w:r>
          </w:p>
        </w:tc>
        <w:tc>
          <w:tcPr>
            <w:tcW w:w="994" w:type="dxa"/>
            <w:tcBorders>
              <w:top w:val="single" w:sz="8" w:space="0" w:color="000000"/>
              <w:left w:val="single" w:sz="8" w:space="0" w:color="000000"/>
              <w:bottom w:val="single" w:sz="8" w:space="0" w:color="000000"/>
              <w:right w:val="single" w:sz="6" w:space="0" w:color="000000"/>
            </w:tcBorders>
          </w:tcPr>
          <w:p w14:paraId="4B61535C" w14:textId="77777777" w:rsidR="002D6241" w:rsidRPr="002D6241" w:rsidRDefault="002D6241" w:rsidP="002D6241">
            <w:pPr>
              <w:kinsoku w:val="0"/>
              <w:overflowPunct w:val="0"/>
              <w:autoSpaceDE w:val="0"/>
              <w:autoSpaceDN w:val="0"/>
              <w:adjustRightInd w:val="0"/>
              <w:spacing w:before="1" w:after="0" w:line="240" w:lineRule="auto"/>
              <w:ind w:left="261"/>
              <w:rPr>
                <w:rFonts w:ascii="Calibri" w:hAnsi="Calibri" w:cs="Calibri"/>
                <w:sz w:val="24"/>
                <w:szCs w:val="24"/>
              </w:rPr>
            </w:pPr>
            <w:r w:rsidRPr="002D6241">
              <w:rPr>
                <w:rFonts w:ascii="Calibri" w:hAnsi="Calibri" w:cs="Calibri"/>
                <w:sz w:val="24"/>
                <w:szCs w:val="24"/>
              </w:rPr>
              <w:t>-23.7</w:t>
            </w:r>
          </w:p>
        </w:tc>
      </w:tr>
      <w:tr w:rsidR="002D6241" w:rsidRPr="002D6241" w14:paraId="30AF39E4" w14:textId="77777777" w:rsidTr="002D6241">
        <w:trPr>
          <w:trHeight w:val="316"/>
        </w:trPr>
        <w:tc>
          <w:tcPr>
            <w:tcW w:w="1022" w:type="dxa"/>
            <w:tcBorders>
              <w:top w:val="single" w:sz="8" w:space="0" w:color="000000"/>
              <w:left w:val="single" w:sz="12" w:space="0" w:color="000000"/>
              <w:bottom w:val="single" w:sz="8" w:space="0" w:color="000000"/>
              <w:right w:val="single" w:sz="12" w:space="0" w:color="000000"/>
            </w:tcBorders>
          </w:tcPr>
          <w:p w14:paraId="61E5F8A3" w14:textId="77777777" w:rsidR="002D6241" w:rsidRPr="002D6241" w:rsidRDefault="002D6241" w:rsidP="002D6241">
            <w:pPr>
              <w:kinsoku w:val="0"/>
              <w:overflowPunct w:val="0"/>
              <w:autoSpaceDE w:val="0"/>
              <w:autoSpaceDN w:val="0"/>
              <w:adjustRightInd w:val="0"/>
              <w:spacing w:before="1" w:after="0" w:line="240" w:lineRule="auto"/>
              <w:ind w:left="304" w:right="273"/>
              <w:jc w:val="center"/>
              <w:rPr>
                <w:rFonts w:ascii="Calibri" w:hAnsi="Calibri" w:cs="Calibri"/>
                <w:sz w:val="24"/>
                <w:szCs w:val="24"/>
              </w:rPr>
            </w:pPr>
            <w:proofErr w:type="spellStart"/>
            <w:r w:rsidRPr="002D6241">
              <w:rPr>
                <w:rFonts w:ascii="Calibri" w:hAnsi="Calibri" w:cs="Calibri"/>
                <w:sz w:val="24"/>
                <w:szCs w:val="24"/>
              </w:rPr>
              <w:t>Lw</w:t>
            </w:r>
            <w:proofErr w:type="spellEnd"/>
          </w:p>
        </w:tc>
        <w:tc>
          <w:tcPr>
            <w:tcW w:w="1070" w:type="dxa"/>
            <w:tcBorders>
              <w:top w:val="single" w:sz="8" w:space="0" w:color="000000"/>
              <w:left w:val="single" w:sz="12" w:space="0" w:color="000000"/>
              <w:bottom w:val="single" w:sz="8" w:space="0" w:color="000000"/>
              <w:right w:val="single" w:sz="8" w:space="0" w:color="000000"/>
            </w:tcBorders>
          </w:tcPr>
          <w:p w14:paraId="4E805CF5" w14:textId="77777777" w:rsidR="002D6241" w:rsidRPr="002D6241" w:rsidRDefault="002D6241" w:rsidP="002D6241">
            <w:pPr>
              <w:kinsoku w:val="0"/>
              <w:overflowPunct w:val="0"/>
              <w:autoSpaceDE w:val="0"/>
              <w:autoSpaceDN w:val="0"/>
              <w:adjustRightInd w:val="0"/>
              <w:spacing w:before="1" w:after="0" w:line="240" w:lineRule="auto"/>
              <w:ind w:left="85" w:right="63"/>
              <w:jc w:val="center"/>
              <w:rPr>
                <w:rFonts w:ascii="Calibri" w:hAnsi="Calibri" w:cs="Calibri"/>
                <w:sz w:val="24"/>
                <w:szCs w:val="24"/>
              </w:rPr>
            </w:pPr>
            <w:r w:rsidRPr="002D6241">
              <w:rPr>
                <w:rFonts w:ascii="Calibri" w:hAnsi="Calibri" w:cs="Calibri"/>
                <w:sz w:val="24"/>
                <w:szCs w:val="24"/>
              </w:rPr>
              <w:t>2.05.24b</w:t>
            </w:r>
          </w:p>
        </w:tc>
        <w:tc>
          <w:tcPr>
            <w:tcW w:w="974" w:type="dxa"/>
            <w:tcBorders>
              <w:top w:val="single" w:sz="8" w:space="0" w:color="000000"/>
              <w:left w:val="single" w:sz="8" w:space="0" w:color="000000"/>
              <w:bottom w:val="single" w:sz="8" w:space="0" w:color="000000"/>
              <w:right w:val="single" w:sz="8" w:space="0" w:color="000000"/>
            </w:tcBorders>
          </w:tcPr>
          <w:p w14:paraId="2D7AF161" w14:textId="77777777" w:rsidR="002D6241" w:rsidRPr="002D6241" w:rsidRDefault="002D6241" w:rsidP="002D6241">
            <w:pPr>
              <w:kinsoku w:val="0"/>
              <w:overflowPunct w:val="0"/>
              <w:autoSpaceDE w:val="0"/>
              <w:autoSpaceDN w:val="0"/>
              <w:adjustRightInd w:val="0"/>
              <w:spacing w:before="1" w:after="0" w:line="240" w:lineRule="auto"/>
              <w:ind w:left="216" w:right="189"/>
              <w:jc w:val="center"/>
              <w:rPr>
                <w:rFonts w:ascii="Calibri" w:hAnsi="Calibri" w:cs="Calibri"/>
                <w:sz w:val="24"/>
                <w:szCs w:val="24"/>
              </w:rPr>
            </w:pPr>
            <w:r w:rsidRPr="002D6241">
              <w:rPr>
                <w:rFonts w:ascii="Calibri" w:hAnsi="Calibri" w:cs="Calibri"/>
                <w:sz w:val="24"/>
                <w:szCs w:val="24"/>
              </w:rPr>
              <w:t>409</w:t>
            </w:r>
          </w:p>
        </w:tc>
        <w:tc>
          <w:tcPr>
            <w:tcW w:w="1017" w:type="dxa"/>
            <w:tcBorders>
              <w:top w:val="single" w:sz="8" w:space="0" w:color="000000"/>
              <w:left w:val="single" w:sz="8" w:space="0" w:color="000000"/>
              <w:bottom w:val="single" w:sz="8" w:space="0" w:color="000000"/>
              <w:right w:val="single" w:sz="12" w:space="0" w:color="000000"/>
            </w:tcBorders>
          </w:tcPr>
          <w:p w14:paraId="608AEFED" w14:textId="77777777" w:rsidR="002D6241" w:rsidRPr="002D6241" w:rsidRDefault="002D6241" w:rsidP="002D6241">
            <w:pPr>
              <w:kinsoku w:val="0"/>
              <w:overflowPunct w:val="0"/>
              <w:autoSpaceDE w:val="0"/>
              <w:autoSpaceDN w:val="0"/>
              <w:adjustRightInd w:val="0"/>
              <w:spacing w:before="1" w:after="0" w:line="240" w:lineRule="auto"/>
              <w:ind w:left="313" w:right="273"/>
              <w:jc w:val="center"/>
              <w:rPr>
                <w:rFonts w:ascii="Calibri" w:hAnsi="Calibri" w:cs="Calibri"/>
                <w:sz w:val="24"/>
                <w:szCs w:val="24"/>
              </w:rPr>
            </w:pPr>
            <w:r w:rsidRPr="002D6241">
              <w:rPr>
                <w:rFonts w:ascii="Calibri" w:hAnsi="Calibri" w:cs="Calibri"/>
                <w:sz w:val="24"/>
                <w:szCs w:val="24"/>
              </w:rPr>
              <w:t>368</w:t>
            </w:r>
          </w:p>
        </w:tc>
        <w:tc>
          <w:tcPr>
            <w:tcW w:w="1271" w:type="dxa"/>
            <w:tcBorders>
              <w:top w:val="single" w:sz="8" w:space="0" w:color="000000"/>
              <w:left w:val="single" w:sz="12" w:space="0" w:color="000000"/>
              <w:bottom w:val="single" w:sz="8" w:space="0" w:color="000000"/>
              <w:right w:val="single" w:sz="8" w:space="0" w:color="000000"/>
            </w:tcBorders>
          </w:tcPr>
          <w:p w14:paraId="4D234132" w14:textId="77777777" w:rsidR="002D6241" w:rsidRPr="002D6241" w:rsidRDefault="002D6241" w:rsidP="002D6241">
            <w:pPr>
              <w:kinsoku w:val="0"/>
              <w:overflowPunct w:val="0"/>
              <w:autoSpaceDE w:val="0"/>
              <w:autoSpaceDN w:val="0"/>
              <w:adjustRightInd w:val="0"/>
              <w:spacing w:before="1" w:after="0" w:line="240" w:lineRule="auto"/>
              <w:ind w:left="91" w:right="60"/>
              <w:jc w:val="center"/>
              <w:rPr>
                <w:rFonts w:ascii="Calibri" w:hAnsi="Calibri" w:cs="Calibri"/>
                <w:sz w:val="24"/>
                <w:szCs w:val="24"/>
              </w:rPr>
            </w:pPr>
            <w:r w:rsidRPr="002D6241">
              <w:rPr>
                <w:rFonts w:ascii="Calibri" w:hAnsi="Calibri" w:cs="Calibri"/>
                <w:sz w:val="24"/>
                <w:szCs w:val="24"/>
              </w:rPr>
              <w:t>2.07.73WS</w:t>
            </w:r>
          </w:p>
        </w:tc>
        <w:tc>
          <w:tcPr>
            <w:tcW w:w="973" w:type="dxa"/>
            <w:tcBorders>
              <w:top w:val="single" w:sz="8" w:space="0" w:color="000000"/>
              <w:left w:val="single" w:sz="8" w:space="0" w:color="000000"/>
              <w:bottom w:val="single" w:sz="8" w:space="0" w:color="000000"/>
              <w:right w:val="single" w:sz="8" w:space="0" w:color="000000"/>
            </w:tcBorders>
          </w:tcPr>
          <w:p w14:paraId="5C88FCCB" w14:textId="77777777" w:rsidR="002D6241" w:rsidRPr="002D6241" w:rsidRDefault="002D6241" w:rsidP="002D6241">
            <w:pPr>
              <w:kinsoku w:val="0"/>
              <w:overflowPunct w:val="0"/>
              <w:autoSpaceDE w:val="0"/>
              <w:autoSpaceDN w:val="0"/>
              <w:adjustRightInd w:val="0"/>
              <w:spacing w:before="1" w:after="0" w:line="240" w:lineRule="auto"/>
              <w:ind w:left="215" w:right="182"/>
              <w:jc w:val="center"/>
              <w:rPr>
                <w:rFonts w:ascii="Calibri" w:hAnsi="Calibri" w:cs="Calibri"/>
                <w:sz w:val="24"/>
                <w:szCs w:val="24"/>
              </w:rPr>
            </w:pPr>
            <w:r w:rsidRPr="002D6241">
              <w:rPr>
                <w:rFonts w:ascii="Calibri" w:hAnsi="Calibri" w:cs="Calibri"/>
                <w:sz w:val="24"/>
                <w:szCs w:val="24"/>
              </w:rPr>
              <w:t>334</w:t>
            </w:r>
          </w:p>
        </w:tc>
        <w:tc>
          <w:tcPr>
            <w:tcW w:w="1016" w:type="dxa"/>
            <w:tcBorders>
              <w:top w:val="single" w:sz="8" w:space="0" w:color="000000"/>
              <w:left w:val="single" w:sz="8" w:space="0" w:color="000000"/>
              <w:bottom w:val="single" w:sz="8" w:space="0" w:color="000000"/>
              <w:right w:val="single" w:sz="12" w:space="0" w:color="000000"/>
            </w:tcBorders>
          </w:tcPr>
          <w:p w14:paraId="0E56EB97" w14:textId="77777777" w:rsidR="002D6241" w:rsidRPr="002D6241" w:rsidRDefault="002D6241" w:rsidP="002D6241">
            <w:pPr>
              <w:kinsoku w:val="0"/>
              <w:overflowPunct w:val="0"/>
              <w:autoSpaceDE w:val="0"/>
              <w:autoSpaceDN w:val="0"/>
              <w:adjustRightInd w:val="0"/>
              <w:spacing w:before="1" w:after="0" w:line="240" w:lineRule="auto"/>
              <w:ind w:left="316" w:right="269"/>
              <w:jc w:val="center"/>
              <w:rPr>
                <w:rFonts w:ascii="Calibri" w:hAnsi="Calibri" w:cs="Calibri"/>
                <w:sz w:val="24"/>
                <w:szCs w:val="24"/>
              </w:rPr>
            </w:pPr>
            <w:r w:rsidRPr="002D6241">
              <w:rPr>
                <w:rFonts w:ascii="Calibri" w:hAnsi="Calibri" w:cs="Calibri"/>
                <w:sz w:val="24"/>
                <w:szCs w:val="24"/>
              </w:rPr>
              <w:t>282</w:t>
            </w:r>
          </w:p>
        </w:tc>
        <w:tc>
          <w:tcPr>
            <w:tcW w:w="978" w:type="dxa"/>
            <w:tcBorders>
              <w:top w:val="single" w:sz="8" w:space="0" w:color="000000"/>
              <w:left w:val="single" w:sz="12" w:space="0" w:color="000000"/>
              <w:bottom w:val="single" w:sz="8" w:space="0" w:color="000000"/>
              <w:right w:val="single" w:sz="8" w:space="0" w:color="000000"/>
            </w:tcBorders>
          </w:tcPr>
          <w:p w14:paraId="3798AC4A" w14:textId="77777777" w:rsidR="002D6241" w:rsidRPr="002D6241" w:rsidRDefault="002D6241" w:rsidP="002D6241">
            <w:pPr>
              <w:kinsoku w:val="0"/>
              <w:overflowPunct w:val="0"/>
              <w:autoSpaceDE w:val="0"/>
              <w:autoSpaceDN w:val="0"/>
              <w:adjustRightInd w:val="0"/>
              <w:spacing w:before="1" w:after="0" w:line="240" w:lineRule="auto"/>
              <w:ind w:left="218" w:right="179"/>
              <w:jc w:val="center"/>
              <w:rPr>
                <w:rFonts w:ascii="Calibri" w:hAnsi="Calibri" w:cs="Calibri"/>
                <w:sz w:val="24"/>
                <w:szCs w:val="24"/>
              </w:rPr>
            </w:pPr>
            <w:r w:rsidRPr="002D6241">
              <w:rPr>
                <w:rFonts w:ascii="Calibri" w:hAnsi="Calibri" w:cs="Calibri"/>
                <w:sz w:val="24"/>
                <w:szCs w:val="24"/>
              </w:rPr>
              <w:t>-18.3</w:t>
            </w:r>
          </w:p>
        </w:tc>
        <w:tc>
          <w:tcPr>
            <w:tcW w:w="994" w:type="dxa"/>
            <w:tcBorders>
              <w:top w:val="single" w:sz="8" w:space="0" w:color="000000"/>
              <w:left w:val="single" w:sz="8" w:space="0" w:color="000000"/>
              <w:bottom w:val="single" w:sz="8" w:space="0" w:color="000000"/>
              <w:right w:val="single" w:sz="6" w:space="0" w:color="000000"/>
            </w:tcBorders>
          </w:tcPr>
          <w:p w14:paraId="771661B4" w14:textId="77777777" w:rsidR="002D6241" w:rsidRPr="002D6241" w:rsidRDefault="002D6241" w:rsidP="002D6241">
            <w:pPr>
              <w:kinsoku w:val="0"/>
              <w:overflowPunct w:val="0"/>
              <w:autoSpaceDE w:val="0"/>
              <w:autoSpaceDN w:val="0"/>
              <w:adjustRightInd w:val="0"/>
              <w:spacing w:before="1" w:after="0" w:line="240" w:lineRule="auto"/>
              <w:ind w:left="261"/>
              <w:rPr>
                <w:rFonts w:ascii="Calibri" w:hAnsi="Calibri" w:cs="Calibri"/>
                <w:sz w:val="24"/>
                <w:szCs w:val="24"/>
              </w:rPr>
            </w:pPr>
            <w:r w:rsidRPr="002D6241">
              <w:rPr>
                <w:rFonts w:ascii="Calibri" w:hAnsi="Calibri" w:cs="Calibri"/>
                <w:sz w:val="24"/>
                <w:szCs w:val="24"/>
              </w:rPr>
              <w:t>-23.4</w:t>
            </w:r>
          </w:p>
        </w:tc>
      </w:tr>
      <w:tr w:rsidR="002D6241" w:rsidRPr="002D6241" w14:paraId="18420FEE" w14:textId="77777777" w:rsidTr="002D6241">
        <w:trPr>
          <w:trHeight w:val="315"/>
        </w:trPr>
        <w:tc>
          <w:tcPr>
            <w:tcW w:w="1022" w:type="dxa"/>
            <w:tcBorders>
              <w:top w:val="single" w:sz="8" w:space="0" w:color="000000"/>
              <w:left w:val="single" w:sz="12" w:space="0" w:color="000000"/>
              <w:bottom w:val="single" w:sz="8" w:space="0" w:color="000000"/>
              <w:right w:val="single" w:sz="12" w:space="0" w:color="000000"/>
            </w:tcBorders>
          </w:tcPr>
          <w:p w14:paraId="4D4CB146" w14:textId="77777777" w:rsidR="002D6241" w:rsidRPr="002D6241" w:rsidRDefault="002D6241" w:rsidP="002D6241">
            <w:pPr>
              <w:kinsoku w:val="0"/>
              <w:overflowPunct w:val="0"/>
              <w:autoSpaceDE w:val="0"/>
              <w:autoSpaceDN w:val="0"/>
              <w:adjustRightInd w:val="0"/>
              <w:spacing w:before="1" w:after="0" w:line="240" w:lineRule="auto"/>
              <w:ind w:left="304" w:right="273"/>
              <w:jc w:val="center"/>
              <w:rPr>
                <w:rFonts w:ascii="Calibri" w:hAnsi="Calibri" w:cs="Calibri"/>
                <w:sz w:val="24"/>
                <w:szCs w:val="24"/>
              </w:rPr>
            </w:pPr>
            <w:r w:rsidRPr="002D6241">
              <w:rPr>
                <w:rFonts w:ascii="Calibri" w:hAnsi="Calibri" w:cs="Calibri"/>
                <w:sz w:val="24"/>
                <w:szCs w:val="24"/>
              </w:rPr>
              <w:t>Pl</w:t>
            </w:r>
          </w:p>
        </w:tc>
        <w:tc>
          <w:tcPr>
            <w:tcW w:w="1070" w:type="dxa"/>
            <w:tcBorders>
              <w:top w:val="single" w:sz="8" w:space="0" w:color="000000"/>
              <w:left w:val="single" w:sz="12" w:space="0" w:color="000000"/>
              <w:bottom w:val="single" w:sz="8" w:space="0" w:color="000000"/>
              <w:right w:val="single" w:sz="8" w:space="0" w:color="000000"/>
            </w:tcBorders>
          </w:tcPr>
          <w:p w14:paraId="1239B548" w14:textId="77777777" w:rsidR="002D6241" w:rsidRPr="002D6241" w:rsidRDefault="002D6241" w:rsidP="002D6241">
            <w:pPr>
              <w:kinsoku w:val="0"/>
              <w:overflowPunct w:val="0"/>
              <w:autoSpaceDE w:val="0"/>
              <w:autoSpaceDN w:val="0"/>
              <w:adjustRightInd w:val="0"/>
              <w:spacing w:before="1" w:after="0" w:line="240" w:lineRule="auto"/>
              <w:ind w:left="85" w:right="63"/>
              <w:jc w:val="center"/>
              <w:rPr>
                <w:rFonts w:ascii="Calibri" w:hAnsi="Calibri" w:cs="Calibri"/>
                <w:sz w:val="24"/>
                <w:szCs w:val="24"/>
              </w:rPr>
            </w:pPr>
            <w:r w:rsidRPr="002D6241">
              <w:rPr>
                <w:rFonts w:ascii="Calibri" w:hAnsi="Calibri" w:cs="Calibri"/>
                <w:sz w:val="24"/>
                <w:szCs w:val="24"/>
              </w:rPr>
              <w:t>2.05.24f</w:t>
            </w:r>
          </w:p>
        </w:tc>
        <w:tc>
          <w:tcPr>
            <w:tcW w:w="974" w:type="dxa"/>
            <w:tcBorders>
              <w:top w:val="single" w:sz="8" w:space="0" w:color="000000"/>
              <w:left w:val="single" w:sz="8" w:space="0" w:color="000000"/>
              <w:bottom w:val="single" w:sz="8" w:space="0" w:color="000000"/>
              <w:right w:val="single" w:sz="8" w:space="0" w:color="000000"/>
            </w:tcBorders>
          </w:tcPr>
          <w:p w14:paraId="4AEC3F62" w14:textId="77777777" w:rsidR="002D6241" w:rsidRPr="002D6241" w:rsidRDefault="002D6241" w:rsidP="002D6241">
            <w:pPr>
              <w:kinsoku w:val="0"/>
              <w:overflowPunct w:val="0"/>
              <w:autoSpaceDE w:val="0"/>
              <w:autoSpaceDN w:val="0"/>
              <w:adjustRightInd w:val="0"/>
              <w:spacing w:before="1" w:after="0" w:line="240" w:lineRule="auto"/>
              <w:ind w:left="216" w:right="189"/>
              <w:jc w:val="center"/>
              <w:rPr>
                <w:rFonts w:ascii="Calibri" w:hAnsi="Calibri" w:cs="Calibri"/>
                <w:sz w:val="24"/>
                <w:szCs w:val="24"/>
              </w:rPr>
            </w:pPr>
            <w:r w:rsidRPr="002D6241">
              <w:rPr>
                <w:rFonts w:ascii="Calibri" w:hAnsi="Calibri" w:cs="Calibri"/>
                <w:sz w:val="24"/>
                <w:szCs w:val="24"/>
              </w:rPr>
              <w:t>438</w:t>
            </w:r>
          </w:p>
        </w:tc>
        <w:tc>
          <w:tcPr>
            <w:tcW w:w="1017" w:type="dxa"/>
            <w:tcBorders>
              <w:top w:val="single" w:sz="8" w:space="0" w:color="000000"/>
              <w:left w:val="single" w:sz="8" w:space="0" w:color="000000"/>
              <w:bottom w:val="single" w:sz="8" w:space="0" w:color="000000"/>
              <w:right w:val="single" w:sz="12" w:space="0" w:color="000000"/>
            </w:tcBorders>
          </w:tcPr>
          <w:p w14:paraId="64485D3A" w14:textId="77777777" w:rsidR="002D6241" w:rsidRPr="002D6241" w:rsidRDefault="002D6241" w:rsidP="002D6241">
            <w:pPr>
              <w:kinsoku w:val="0"/>
              <w:overflowPunct w:val="0"/>
              <w:autoSpaceDE w:val="0"/>
              <w:autoSpaceDN w:val="0"/>
              <w:adjustRightInd w:val="0"/>
              <w:spacing w:before="1" w:after="0" w:line="240" w:lineRule="auto"/>
              <w:ind w:left="313" w:right="273"/>
              <w:jc w:val="center"/>
              <w:rPr>
                <w:rFonts w:ascii="Calibri" w:hAnsi="Calibri" w:cs="Calibri"/>
                <w:sz w:val="24"/>
                <w:szCs w:val="24"/>
              </w:rPr>
            </w:pPr>
            <w:r w:rsidRPr="002D6241">
              <w:rPr>
                <w:rFonts w:ascii="Calibri" w:hAnsi="Calibri" w:cs="Calibri"/>
                <w:sz w:val="24"/>
                <w:szCs w:val="24"/>
              </w:rPr>
              <w:t>401</w:t>
            </w:r>
          </w:p>
        </w:tc>
        <w:tc>
          <w:tcPr>
            <w:tcW w:w="1271" w:type="dxa"/>
            <w:tcBorders>
              <w:top w:val="single" w:sz="8" w:space="0" w:color="000000"/>
              <w:left w:val="single" w:sz="12" w:space="0" w:color="000000"/>
              <w:bottom w:val="single" w:sz="8" w:space="0" w:color="000000"/>
              <w:right w:val="single" w:sz="8" w:space="0" w:color="000000"/>
            </w:tcBorders>
          </w:tcPr>
          <w:p w14:paraId="472D76FA" w14:textId="77777777" w:rsidR="002D6241" w:rsidRPr="002D6241" w:rsidRDefault="002D6241" w:rsidP="002D6241">
            <w:pPr>
              <w:kinsoku w:val="0"/>
              <w:overflowPunct w:val="0"/>
              <w:autoSpaceDE w:val="0"/>
              <w:autoSpaceDN w:val="0"/>
              <w:adjustRightInd w:val="0"/>
              <w:spacing w:before="1" w:after="0" w:line="240" w:lineRule="auto"/>
              <w:ind w:left="91" w:right="60"/>
              <w:jc w:val="center"/>
              <w:rPr>
                <w:rFonts w:ascii="Calibri" w:hAnsi="Calibri" w:cs="Calibri"/>
                <w:sz w:val="24"/>
                <w:szCs w:val="24"/>
              </w:rPr>
            </w:pPr>
            <w:r w:rsidRPr="002D6241">
              <w:rPr>
                <w:rFonts w:ascii="Calibri" w:hAnsi="Calibri" w:cs="Calibri"/>
                <w:sz w:val="24"/>
                <w:szCs w:val="24"/>
              </w:rPr>
              <w:t>3.01.13W</w:t>
            </w:r>
          </w:p>
        </w:tc>
        <w:tc>
          <w:tcPr>
            <w:tcW w:w="973" w:type="dxa"/>
            <w:tcBorders>
              <w:top w:val="single" w:sz="8" w:space="0" w:color="000000"/>
              <w:left w:val="single" w:sz="8" w:space="0" w:color="000000"/>
              <w:bottom w:val="single" w:sz="8" w:space="0" w:color="000000"/>
              <w:right w:val="single" w:sz="8" w:space="0" w:color="000000"/>
            </w:tcBorders>
          </w:tcPr>
          <w:p w14:paraId="363A26CB" w14:textId="77777777" w:rsidR="002D6241" w:rsidRPr="002D6241" w:rsidRDefault="002D6241" w:rsidP="002D6241">
            <w:pPr>
              <w:kinsoku w:val="0"/>
              <w:overflowPunct w:val="0"/>
              <w:autoSpaceDE w:val="0"/>
              <w:autoSpaceDN w:val="0"/>
              <w:adjustRightInd w:val="0"/>
              <w:spacing w:before="1" w:after="0" w:line="240" w:lineRule="auto"/>
              <w:ind w:left="215" w:right="182"/>
              <w:jc w:val="center"/>
              <w:rPr>
                <w:rFonts w:ascii="Calibri" w:hAnsi="Calibri" w:cs="Calibri"/>
                <w:sz w:val="24"/>
                <w:szCs w:val="24"/>
              </w:rPr>
            </w:pPr>
            <w:r w:rsidRPr="002D6241">
              <w:rPr>
                <w:rFonts w:ascii="Calibri" w:hAnsi="Calibri" w:cs="Calibri"/>
                <w:sz w:val="24"/>
                <w:szCs w:val="24"/>
              </w:rPr>
              <w:t>529</w:t>
            </w:r>
          </w:p>
        </w:tc>
        <w:tc>
          <w:tcPr>
            <w:tcW w:w="1016" w:type="dxa"/>
            <w:tcBorders>
              <w:top w:val="single" w:sz="8" w:space="0" w:color="000000"/>
              <w:left w:val="single" w:sz="8" w:space="0" w:color="000000"/>
              <w:bottom w:val="single" w:sz="8" w:space="0" w:color="000000"/>
              <w:right w:val="single" w:sz="12" w:space="0" w:color="000000"/>
            </w:tcBorders>
          </w:tcPr>
          <w:p w14:paraId="6FEF08A5" w14:textId="77777777" w:rsidR="002D6241" w:rsidRPr="002D6241" w:rsidRDefault="002D6241" w:rsidP="002D6241">
            <w:pPr>
              <w:kinsoku w:val="0"/>
              <w:overflowPunct w:val="0"/>
              <w:autoSpaceDE w:val="0"/>
              <w:autoSpaceDN w:val="0"/>
              <w:adjustRightInd w:val="0"/>
              <w:spacing w:before="1" w:after="0" w:line="240" w:lineRule="auto"/>
              <w:ind w:left="316" w:right="269"/>
              <w:jc w:val="center"/>
              <w:rPr>
                <w:rFonts w:ascii="Calibri" w:hAnsi="Calibri" w:cs="Calibri"/>
                <w:sz w:val="24"/>
                <w:szCs w:val="24"/>
              </w:rPr>
            </w:pPr>
            <w:r w:rsidRPr="002D6241">
              <w:rPr>
                <w:rFonts w:ascii="Calibri" w:hAnsi="Calibri" w:cs="Calibri"/>
                <w:sz w:val="24"/>
                <w:szCs w:val="24"/>
              </w:rPr>
              <w:t>485</w:t>
            </w:r>
          </w:p>
        </w:tc>
        <w:tc>
          <w:tcPr>
            <w:tcW w:w="978" w:type="dxa"/>
            <w:tcBorders>
              <w:top w:val="single" w:sz="8" w:space="0" w:color="000000"/>
              <w:left w:val="single" w:sz="12" w:space="0" w:color="000000"/>
              <w:bottom w:val="single" w:sz="8" w:space="0" w:color="000000"/>
              <w:right w:val="single" w:sz="8" w:space="0" w:color="000000"/>
            </w:tcBorders>
          </w:tcPr>
          <w:p w14:paraId="402B860C" w14:textId="77777777" w:rsidR="002D6241" w:rsidRPr="002D6241" w:rsidRDefault="002D6241" w:rsidP="002D6241">
            <w:pPr>
              <w:kinsoku w:val="0"/>
              <w:overflowPunct w:val="0"/>
              <w:autoSpaceDE w:val="0"/>
              <w:autoSpaceDN w:val="0"/>
              <w:adjustRightInd w:val="0"/>
              <w:spacing w:before="1" w:after="0" w:line="240" w:lineRule="auto"/>
              <w:ind w:left="218" w:right="179"/>
              <w:jc w:val="center"/>
              <w:rPr>
                <w:rFonts w:ascii="Calibri" w:hAnsi="Calibri" w:cs="Calibri"/>
                <w:sz w:val="24"/>
                <w:szCs w:val="24"/>
              </w:rPr>
            </w:pPr>
            <w:r w:rsidRPr="002D6241">
              <w:rPr>
                <w:rFonts w:ascii="Calibri" w:hAnsi="Calibri" w:cs="Calibri"/>
                <w:sz w:val="24"/>
                <w:szCs w:val="24"/>
              </w:rPr>
              <w:t>20.8</w:t>
            </w:r>
          </w:p>
        </w:tc>
        <w:tc>
          <w:tcPr>
            <w:tcW w:w="994" w:type="dxa"/>
            <w:tcBorders>
              <w:top w:val="single" w:sz="8" w:space="0" w:color="000000"/>
              <w:left w:val="single" w:sz="8" w:space="0" w:color="000000"/>
              <w:bottom w:val="single" w:sz="8" w:space="0" w:color="000000"/>
              <w:right w:val="single" w:sz="6" w:space="0" w:color="000000"/>
            </w:tcBorders>
          </w:tcPr>
          <w:p w14:paraId="60C2479C" w14:textId="77777777" w:rsidR="002D6241" w:rsidRPr="002D6241" w:rsidRDefault="002D6241" w:rsidP="002D6241">
            <w:pPr>
              <w:kinsoku w:val="0"/>
              <w:overflowPunct w:val="0"/>
              <w:autoSpaceDE w:val="0"/>
              <w:autoSpaceDN w:val="0"/>
              <w:adjustRightInd w:val="0"/>
              <w:spacing w:before="1" w:after="0" w:line="240" w:lineRule="auto"/>
              <w:ind w:left="298"/>
              <w:rPr>
                <w:rFonts w:ascii="Calibri" w:hAnsi="Calibri" w:cs="Calibri"/>
                <w:sz w:val="24"/>
                <w:szCs w:val="24"/>
              </w:rPr>
            </w:pPr>
            <w:r w:rsidRPr="002D6241">
              <w:rPr>
                <w:rFonts w:ascii="Calibri" w:hAnsi="Calibri" w:cs="Calibri"/>
                <w:sz w:val="24"/>
                <w:szCs w:val="24"/>
              </w:rPr>
              <w:t>20.9</w:t>
            </w:r>
          </w:p>
        </w:tc>
      </w:tr>
      <w:tr w:rsidR="002D6241" w:rsidRPr="002D6241" w14:paraId="2E9C3A6C" w14:textId="77777777" w:rsidTr="002D6241">
        <w:trPr>
          <w:trHeight w:val="315"/>
        </w:trPr>
        <w:tc>
          <w:tcPr>
            <w:tcW w:w="1022" w:type="dxa"/>
            <w:tcBorders>
              <w:top w:val="single" w:sz="8" w:space="0" w:color="000000"/>
              <w:left w:val="single" w:sz="12" w:space="0" w:color="000000"/>
              <w:bottom w:val="single" w:sz="12" w:space="0" w:color="000000"/>
              <w:right w:val="single" w:sz="12" w:space="0" w:color="000000"/>
            </w:tcBorders>
          </w:tcPr>
          <w:p w14:paraId="3969D249" w14:textId="77777777" w:rsidR="002D6241" w:rsidRPr="002D6241" w:rsidRDefault="002D6241" w:rsidP="002D6241">
            <w:pPr>
              <w:kinsoku w:val="0"/>
              <w:overflowPunct w:val="0"/>
              <w:autoSpaceDE w:val="0"/>
              <w:autoSpaceDN w:val="0"/>
              <w:adjustRightInd w:val="0"/>
              <w:spacing w:before="1" w:after="0" w:line="240" w:lineRule="auto"/>
              <w:ind w:left="304" w:right="273"/>
              <w:jc w:val="center"/>
              <w:rPr>
                <w:rFonts w:ascii="Calibri" w:hAnsi="Calibri" w:cs="Calibri"/>
                <w:sz w:val="24"/>
                <w:szCs w:val="24"/>
              </w:rPr>
            </w:pPr>
            <w:proofErr w:type="spellStart"/>
            <w:r w:rsidRPr="002D6241">
              <w:rPr>
                <w:rFonts w:ascii="Calibri" w:hAnsi="Calibri" w:cs="Calibri"/>
                <w:sz w:val="24"/>
                <w:szCs w:val="24"/>
              </w:rPr>
              <w:t>Sw</w:t>
            </w:r>
            <w:proofErr w:type="spellEnd"/>
          </w:p>
        </w:tc>
        <w:tc>
          <w:tcPr>
            <w:tcW w:w="1070" w:type="dxa"/>
            <w:tcBorders>
              <w:top w:val="single" w:sz="8" w:space="0" w:color="000000"/>
              <w:left w:val="single" w:sz="12" w:space="0" w:color="000000"/>
              <w:bottom w:val="single" w:sz="12" w:space="0" w:color="000000"/>
              <w:right w:val="single" w:sz="8" w:space="0" w:color="000000"/>
            </w:tcBorders>
          </w:tcPr>
          <w:p w14:paraId="2BB51688" w14:textId="77777777" w:rsidR="002D6241" w:rsidRPr="002D6241" w:rsidRDefault="002D6241" w:rsidP="002D6241">
            <w:pPr>
              <w:kinsoku w:val="0"/>
              <w:overflowPunct w:val="0"/>
              <w:autoSpaceDE w:val="0"/>
              <w:autoSpaceDN w:val="0"/>
              <w:adjustRightInd w:val="0"/>
              <w:spacing w:before="1" w:after="0" w:line="240" w:lineRule="auto"/>
              <w:ind w:left="85" w:right="63"/>
              <w:jc w:val="center"/>
              <w:rPr>
                <w:rFonts w:ascii="Calibri" w:hAnsi="Calibri" w:cs="Calibri"/>
                <w:sz w:val="24"/>
                <w:szCs w:val="24"/>
              </w:rPr>
            </w:pPr>
            <w:r w:rsidRPr="002D6241">
              <w:rPr>
                <w:rFonts w:ascii="Calibri" w:hAnsi="Calibri" w:cs="Calibri"/>
                <w:sz w:val="24"/>
                <w:szCs w:val="24"/>
              </w:rPr>
              <w:t>2.05.24b</w:t>
            </w:r>
          </w:p>
        </w:tc>
        <w:tc>
          <w:tcPr>
            <w:tcW w:w="974" w:type="dxa"/>
            <w:tcBorders>
              <w:top w:val="single" w:sz="8" w:space="0" w:color="000000"/>
              <w:left w:val="single" w:sz="8" w:space="0" w:color="000000"/>
              <w:bottom w:val="single" w:sz="12" w:space="0" w:color="000000"/>
              <w:right w:val="single" w:sz="8" w:space="0" w:color="000000"/>
            </w:tcBorders>
          </w:tcPr>
          <w:p w14:paraId="5D2E3B58" w14:textId="77777777" w:rsidR="002D6241" w:rsidRPr="002D6241" w:rsidRDefault="002D6241" w:rsidP="002D6241">
            <w:pPr>
              <w:kinsoku w:val="0"/>
              <w:overflowPunct w:val="0"/>
              <w:autoSpaceDE w:val="0"/>
              <w:autoSpaceDN w:val="0"/>
              <w:adjustRightInd w:val="0"/>
              <w:spacing w:before="1" w:after="0" w:line="240" w:lineRule="auto"/>
              <w:ind w:left="216" w:right="189"/>
              <w:jc w:val="center"/>
              <w:rPr>
                <w:rFonts w:ascii="Calibri" w:hAnsi="Calibri" w:cs="Calibri"/>
                <w:sz w:val="24"/>
                <w:szCs w:val="24"/>
              </w:rPr>
            </w:pPr>
            <w:r w:rsidRPr="002D6241">
              <w:rPr>
                <w:rFonts w:ascii="Calibri" w:hAnsi="Calibri" w:cs="Calibri"/>
                <w:sz w:val="24"/>
                <w:szCs w:val="24"/>
              </w:rPr>
              <w:t>496</w:t>
            </w:r>
          </w:p>
        </w:tc>
        <w:tc>
          <w:tcPr>
            <w:tcW w:w="1017" w:type="dxa"/>
            <w:tcBorders>
              <w:top w:val="single" w:sz="8" w:space="0" w:color="000000"/>
              <w:left w:val="single" w:sz="8" w:space="0" w:color="000000"/>
              <w:bottom w:val="single" w:sz="12" w:space="0" w:color="000000"/>
              <w:right w:val="single" w:sz="12" w:space="0" w:color="000000"/>
            </w:tcBorders>
          </w:tcPr>
          <w:p w14:paraId="51A773F0" w14:textId="77777777" w:rsidR="002D6241" w:rsidRPr="002D6241" w:rsidRDefault="002D6241" w:rsidP="002D6241">
            <w:pPr>
              <w:kinsoku w:val="0"/>
              <w:overflowPunct w:val="0"/>
              <w:autoSpaceDE w:val="0"/>
              <w:autoSpaceDN w:val="0"/>
              <w:adjustRightInd w:val="0"/>
              <w:spacing w:before="1" w:after="0" w:line="240" w:lineRule="auto"/>
              <w:ind w:left="313" w:right="273"/>
              <w:jc w:val="center"/>
              <w:rPr>
                <w:rFonts w:ascii="Calibri" w:hAnsi="Calibri" w:cs="Calibri"/>
                <w:sz w:val="24"/>
                <w:szCs w:val="24"/>
              </w:rPr>
            </w:pPr>
            <w:r w:rsidRPr="002D6241">
              <w:rPr>
                <w:rFonts w:ascii="Calibri" w:hAnsi="Calibri" w:cs="Calibri"/>
                <w:sz w:val="24"/>
                <w:szCs w:val="24"/>
              </w:rPr>
              <w:t>457</w:t>
            </w:r>
          </w:p>
        </w:tc>
        <w:tc>
          <w:tcPr>
            <w:tcW w:w="1271" w:type="dxa"/>
            <w:tcBorders>
              <w:top w:val="single" w:sz="8" w:space="0" w:color="000000"/>
              <w:left w:val="single" w:sz="12" w:space="0" w:color="000000"/>
              <w:bottom w:val="single" w:sz="12" w:space="0" w:color="000000"/>
              <w:right w:val="single" w:sz="8" w:space="0" w:color="000000"/>
            </w:tcBorders>
          </w:tcPr>
          <w:p w14:paraId="20179748" w14:textId="77777777" w:rsidR="002D6241" w:rsidRPr="002D6241" w:rsidRDefault="002D6241" w:rsidP="002D6241">
            <w:pPr>
              <w:kinsoku w:val="0"/>
              <w:overflowPunct w:val="0"/>
              <w:autoSpaceDE w:val="0"/>
              <w:autoSpaceDN w:val="0"/>
              <w:adjustRightInd w:val="0"/>
              <w:spacing w:before="1" w:after="0" w:line="240" w:lineRule="auto"/>
              <w:ind w:left="91" w:right="60"/>
              <w:jc w:val="center"/>
              <w:rPr>
                <w:rFonts w:ascii="Calibri" w:hAnsi="Calibri" w:cs="Calibri"/>
                <w:sz w:val="24"/>
                <w:szCs w:val="24"/>
              </w:rPr>
            </w:pPr>
            <w:r w:rsidRPr="002D6241">
              <w:rPr>
                <w:rFonts w:ascii="Calibri" w:hAnsi="Calibri" w:cs="Calibri"/>
                <w:sz w:val="24"/>
                <w:szCs w:val="24"/>
              </w:rPr>
              <w:t>3.01.15W</w:t>
            </w:r>
          </w:p>
        </w:tc>
        <w:tc>
          <w:tcPr>
            <w:tcW w:w="973" w:type="dxa"/>
            <w:tcBorders>
              <w:top w:val="single" w:sz="8" w:space="0" w:color="000000"/>
              <w:left w:val="single" w:sz="8" w:space="0" w:color="000000"/>
              <w:bottom w:val="single" w:sz="12" w:space="0" w:color="000000"/>
              <w:right w:val="single" w:sz="8" w:space="0" w:color="000000"/>
            </w:tcBorders>
          </w:tcPr>
          <w:p w14:paraId="44135782" w14:textId="77777777" w:rsidR="002D6241" w:rsidRPr="002D6241" w:rsidRDefault="002D6241" w:rsidP="002D6241">
            <w:pPr>
              <w:kinsoku w:val="0"/>
              <w:overflowPunct w:val="0"/>
              <w:autoSpaceDE w:val="0"/>
              <w:autoSpaceDN w:val="0"/>
              <w:adjustRightInd w:val="0"/>
              <w:spacing w:before="1" w:after="0" w:line="240" w:lineRule="auto"/>
              <w:ind w:left="215" w:right="182"/>
              <w:jc w:val="center"/>
              <w:rPr>
                <w:rFonts w:ascii="Calibri" w:hAnsi="Calibri" w:cs="Calibri"/>
                <w:sz w:val="24"/>
                <w:szCs w:val="24"/>
              </w:rPr>
            </w:pPr>
            <w:r w:rsidRPr="002D6241">
              <w:rPr>
                <w:rFonts w:ascii="Calibri" w:hAnsi="Calibri" w:cs="Calibri"/>
                <w:sz w:val="24"/>
                <w:szCs w:val="24"/>
              </w:rPr>
              <w:t>439</w:t>
            </w:r>
          </w:p>
        </w:tc>
        <w:tc>
          <w:tcPr>
            <w:tcW w:w="1016" w:type="dxa"/>
            <w:tcBorders>
              <w:top w:val="single" w:sz="8" w:space="0" w:color="000000"/>
              <w:left w:val="single" w:sz="8" w:space="0" w:color="000000"/>
              <w:bottom w:val="single" w:sz="12" w:space="0" w:color="000000"/>
              <w:right w:val="single" w:sz="12" w:space="0" w:color="000000"/>
            </w:tcBorders>
          </w:tcPr>
          <w:p w14:paraId="3510F277" w14:textId="77777777" w:rsidR="002D6241" w:rsidRPr="002D6241" w:rsidRDefault="002D6241" w:rsidP="002D6241">
            <w:pPr>
              <w:kinsoku w:val="0"/>
              <w:overflowPunct w:val="0"/>
              <w:autoSpaceDE w:val="0"/>
              <w:autoSpaceDN w:val="0"/>
              <w:adjustRightInd w:val="0"/>
              <w:spacing w:before="1" w:after="0" w:line="240" w:lineRule="auto"/>
              <w:ind w:left="316" w:right="269"/>
              <w:jc w:val="center"/>
              <w:rPr>
                <w:rFonts w:ascii="Calibri" w:hAnsi="Calibri" w:cs="Calibri"/>
                <w:sz w:val="24"/>
                <w:szCs w:val="24"/>
              </w:rPr>
            </w:pPr>
            <w:r w:rsidRPr="002D6241">
              <w:rPr>
                <w:rFonts w:ascii="Calibri" w:hAnsi="Calibri" w:cs="Calibri"/>
                <w:sz w:val="24"/>
                <w:szCs w:val="24"/>
              </w:rPr>
              <w:t>399</w:t>
            </w:r>
          </w:p>
        </w:tc>
        <w:tc>
          <w:tcPr>
            <w:tcW w:w="978" w:type="dxa"/>
            <w:tcBorders>
              <w:top w:val="single" w:sz="8" w:space="0" w:color="000000"/>
              <w:left w:val="single" w:sz="12" w:space="0" w:color="000000"/>
              <w:bottom w:val="single" w:sz="12" w:space="0" w:color="000000"/>
              <w:right w:val="single" w:sz="8" w:space="0" w:color="000000"/>
            </w:tcBorders>
          </w:tcPr>
          <w:p w14:paraId="663289B5" w14:textId="77777777" w:rsidR="002D6241" w:rsidRPr="002D6241" w:rsidRDefault="002D6241" w:rsidP="002D6241">
            <w:pPr>
              <w:kinsoku w:val="0"/>
              <w:overflowPunct w:val="0"/>
              <w:autoSpaceDE w:val="0"/>
              <w:autoSpaceDN w:val="0"/>
              <w:adjustRightInd w:val="0"/>
              <w:spacing w:before="1" w:after="0" w:line="240" w:lineRule="auto"/>
              <w:ind w:left="218" w:right="179"/>
              <w:jc w:val="center"/>
              <w:rPr>
                <w:rFonts w:ascii="Calibri" w:hAnsi="Calibri" w:cs="Calibri"/>
                <w:sz w:val="24"/>
                <w:szCs w:val="24"/>
              </w:rPr>
            </w:pPr>
            <w:r w:rsidRPr="002D6241">
              <w:rPr>
                <w:rFonts w:ascii="Calibri" w:hAnsi="Calibri" w:cs="Calibri"/>
                <w:sz w:val="24"/>
                <w:szCs w:val="24"/>
              </w:rPr>
              <w:t>-11.4</w:t>
            </w:r>
          </w:p>
        </w:tc>
        <w:tc>
          <w:tcPr>
            <w:tcW w:w="994" w:type="dxa"/>
            <w:tcBorders>
              <w:top w:val="single" w:sz="8" w:space="0" w:color="000000"/>
              <w:left w:val="single" w:sz="8" w:space="0" w:color="000000"/>
              <w:bottom w:val="single" w:sz="12" w:space="0" w:color="000000"/>
              <w:right w:val="single" w:sz="6" w:space="0" w:color="000000"/>
            </w:tcBorders>
          </w:tcPr>
          <w:p w14:paraId="3BD9D3B9" w14:textId="77777777" w:rsidR="002D6241" w:rsidRPr="002D6241" w:rsidRDefault="002D6241" w:rsidP="002D6241">
            <w:pPr>
              <w:kinsoku w:val="0"/>
              <w:overflowPunct w:val="0"/>
              <w:autoSpaceDE w:val="0"/>
              <w:autoSpaceDN w:val="0"/>
              <w:adjustRightInd w:val="0"/>
              <w:spacing w:before="1" w:after="0" w:line="240" w:lineRule="auto"/>
              <w:ind w:left="261"/>
              <w:rPr>
                <w:rFonts w:ascii="Calibri" w:hAnsi="Calibri" w:cs="Calibri"/>
                <w:sz w:val="24"/>
                <w:szCs w:val="24"/>
              </w:rPr>
            </w:pPr>
            <w:r w:rsidRPr="002D6241">
              <w:rPr>
                <w:rFonts w:ascii="Calibri" w:hAnsi="Calibri" w:cs="Calibri"/>
                <w:sz w:val="24"/>
                <w:szCs w:val="24"/>
              </w:rPr>
              <w:t>-12.7</w:t>
            </w:r>
          </w:p>
        </w:tc>
      </w:tr>
    </w:tbl>
    <w:p w14:paraId="43A11DC9" w14:textId="77777777" w:rsidR="002D6241" w:rsidRDefault="002D6241" w:rsidP="00C215E3">
      <w:pPr>
        <w:spacing w:after="0" w:line="276" w:lineRule="auto"/>
        <w:rPr>
          <w:sz w:val="24"/>
          <w:szCs w:val="24"/>
          <w:lang w:val="en-US"/>
        </w:rPr>
      </w:pPr>
    </w:p>
    <w:p w14:paraId="75802100" w14:textId="72F6DC26" w:rsidR="00A7044F" w:rsidRDefault="00D9621E" w:rsidP="00C215E3">
      <w:pPr>
        <w:spacing w:after="0" w:line="276" w:lineRule="auto"/>
        <w:rPr>
          <w:sz w:val="24"/>
          <w:szCs w:val="24"/>
          <w:lang w:val="en-US"/>
        </w:rPr>
      </w:pPr>
      <w:r>
        <w:rPr>
          <w:sz w:val="24"/>
          <w:szCs w:val="24"/>
          <w:lang w:val="en-US"/>
        </w:rPr>
        <w:t xml:space="preserve">As </w:t>
      </w:r>
      <w:r w:rsidR="00BE0C40">
        <w:rPr>
          <w:sz w:val="24"/>
          <w:szCs w:val="24"/>
          <w:lang w:val="en-US"/>
        </w:rPr>
        <w:t xml:space="preserve">the </w:t>
      </w:r>
      <w:r>
        <w:rPr>
          <w:sz w:val="24"/>
          <w:szCs w:val="24"/>
          <w:lang w:val="en-US"/>
        </w:rPr>
        <w:t xml:space="preserve">right columns in the table indicate, </w:t>
      </w:r>
      <w:r w:rsidR="005D5EF8">
        <w:rPr>
          <w:sz w:val="24"/>
          <w:szCs w:val="24"/>
          <w:lang w:val="en-US"/>
        </w:rPr>
        <w:t xml:space="preserve">the </w:t>
      </w:r>
      <w:r>
        <w:rPr>
          <w:sz w:val="24"/>
          <w:szCs w:val="24"/>
          <w:lang w:val="en-US"/>
        </w:rPr>
        <w:t xml:space="preserve">volume for every species has changed by </w:t>
      </w:r>
      <w:r w:rsidR="005D5EF8">
        <w:rPr>
          <w:sz w:val="24"/>
          <w:szCs w:val="24"/>
          <w:lang w:val="en-US"/>
        </w:rPr>
        <w:t xml:space="preserve">far </w:t>
      </w:r>
      <w:r>
        <w:rPr>
          <w:sz w:val="24"/>
          <w:szCs w:val="24"/>
          <w:lang w:val="en-US"/>
        </w:rPr>
        <w:t xml:space="preserve">more than </w:t>
      </w:r>
      <w:r>
        <w:rPr>
          <w:rFonts w:cstheme="minorHAnsi"/>
          <w:sz w:val="24"/>
          <w:szCs w:val="24"/>
          <w:lang w:val="en-US"/>
        </w:rPr>
        <w:t>±</w:t>
      </w:r>
      <w:r>
        <w:rPr>
          <w:sz w:val="24"/>
          <w:szCs w:val="24"/>
          <w:lang w:val="en-US"/>
        </w:rPr>
        <w:t>10%.</w:t>
      </w:r>
    </w:p>
    <w:p w14:paraId="0EC6D356" w14:textId="77777777" w:rsidR="00D9621E" w:rsidRPr="00A7044F" w:rsidRDefault="00D9621E" w:rsidP="00C215E3">
      <w:pPr>
        <w:spacing w:after="0" w:line="276" w:lineRule="auto"/>
        <w:rPr>
          <w:sz w:val="24"/>
          <w:szCs w:val="24"/>
          <w:lang w:val="en-US"/>
        </w:rPr>
      </w:pPr>
    </w:p>
    <w:p w14:paraId="340B6C4C" w14:textId="3006ED24" w:rsidR="006A7B5B" w:rsidRDefault="006A7B5B" w:rsidP="00C215E3">
      <w:pPr>
        <w:spacing w:after="0" w:line="276" w:lineRule="auto"/>
        <w:rPr>
          <w:b/>
          <w:bCs/>
          <w:sz w:val="24"/>
          <w:szCs w:val="24"/>
          <w:lang w:val="en-US"/>
        </w:rPr>
      </w:pPr>
      <w:r>
        <w:rPr>
          <w:b/>
          <w:bCs/>
          <w:sz w:val="24"/>
          <w:szCs w:val="24"/>
          <w:lang w:val="en-US"/>
        </w:rPr>
        <w:t xml:space="preserve">Young Stand </w:t>
      </w:r>
      <w:r w:rsidR="00EB0500">
        <w:rPr>
          <w:b/>
          <w:bCs/>
          <w:sz w:val="24"/>
          <w:szCs w:val="24"/>
          <w:lang w:val="en-US"/>
        </w:rPr>
        <w:t>M</w:t>
      </w:r>
      <w:r>
        <w:rPr>
          <w:b/>
          <w:bCs/>
          <w:sz w:val="24"/>
          <w:szCs w:val="24"/>
          <w:lang w:val="en-US"/>
        </w:rPr>
        <w:t>onitoring Analysis</w:t>
      </w:r>
    </w:p>
    <w:p w14:paraId="17036583" w14:textId="04CA748F" w:rsidR="006A7B5B" w:rsidRDefault="006A7B5B" w:rsidP="00C215E3">
      <w:pPr>
        <w:spacing w:after="0" w:line="276" w:lineRule="auto"/>
        <w:rPr>
          <w:sz w:val="24"/>
          <w:szCs w:val="24"/>
          <w:lang w:val="en-US"/>
        </w:rPr>
      </w:pPr>
    </w:p>
    <w:p w14:paraId="65E640C7" w14:textId="025CDD5B" w:rsidR="00A5258E" w:rsidRDefault="007644FF" w:rsidP="00C215E3">
      <w:pPr>
        <w:spacing w:after="0" w:line="276" w:lineRule="auto"/>
        <w:rPr>
          <w:sz w:val="24"/>
          <w:szCs w:val="24"/>
          <w:lang w:val="en-US"/>
        </w:rPr>
      </w:pPr>
      <w:r>
        <w:rPr>
          <w:sz w:val="24"/>
          <w:szCs w:val="24"/>
          <w:lang w:val="en-US"/>
        </w:rPr>
        <w:t xml:space="preserve">The Young Stand Monitoring (YSM) </w:t>
      </w:r>
      <w:r w:rsidR="00A13A35">
        <w:rPr>
          <w:sz w:val="24"/>
          <w:szCs w:val="24"/>
          <w:lang w:val="en-US"/>
        </w:rPr>
        <w:t xml:space="preserve">program </w:t>
      </w:r>
      <w:r>
        <w:rPr>
          <w:sz w:val="24"/>
          <w:szCs w:val="24"/>
          <w:lang w:val="en-US"/>
        </w:rPr>
        <w:t xml:space="preserve">collects data on stands between the ages of 15 and 50 and is used to assess TASS/TIPSY managed stand yield projections. As with the CMI data, the program is relatively new and there is no remeasured YSM sample plot data. As such, the Young Stand Monitoring analysis can only assess TIPSY estimates at the time of plot measurement and there are no data to assess yield projections with. </w:t>
      </w:r>
    </w:p>
    <w:p w14:paraId="4B1EE24A" w14:textId="7ADBFD9B" w:rsidR="00857EB2" w:rsidRDefault="00857EB2" w:rsidP="00C215E3">
      <w:pPr>
        <w:spacing w:after="0" w:line="276" w:lineRule="auto"/>
        <w:rPr>
          <w:sz w:val="24"/>
          <w:szCs w:val="24"/>
          <w:lang w:val="en-US"/>
        </w:rPr>
      </w:pPr>
    </w:p>
    <w:p w14:paraId="649D2382" w14:textId="31D32AEA" w:rsidR="00857EB2" w:rsidRDefault="00857EB2" w:rsidP="00C215E3">
      <w:pPr>
        <w:spacing w:after="0" w:line="276" w:lineRule="auto"/>
        <w:rPr>
          <w:sz w:val="24"/>
          <w:szCs w:val="24"/>
          <w:lang w:val="en-US"/>
        </w:rPr>
      </w:pPr>
      <w:r>
        <w:rPr>
          <w:sz w:val="24"/>
          <w:szCs w:val="24"/>
          <w:lang w:val="en-US"/>
        </w:rPr>
        <w:t xml:space="preserve">Comparisons of TASS/TIPSY volumes to ground plot data have an additional problem in that TASS/TIPSY determines tree volume differently than the ground plot compilation. Comparisons of TASS/TIPSY projections must account for the differences in individual tree volume estimation. </w:t>
      </w:r>
    </w:p>
    <w:p w14:paraId="5C2F7B99" w14:textId="77777777" w:rsidR="00857EB2" w:rsidRDefault="00857EB2" w:rsidP="00C215E3">
      <w:pPr>
        <w:spacing w:after="0" w:line="276" w:lineRule="auto"/>
        <w:rPr>
          <w:sz w:val="24"/>
          <w:szCs w:val="24"/>
          <w:lang w:val="en-US"/>
        </w:rPr>
      </w:pPr>
    </w:p>
    <w:p w14:paraId="42455228" w14:textId="6F3CD6D4" w:rsidR="00A5258E" w:rsidRDefault="00857EB2" w:rsidP="00C215E3">
      <w:pPr>
        <w:spacing w:after="0" w:line="276" w:lineRule="auto"/>
        <w:rPr>
          <w:sz w:val="24"/>
          <w:szCs w:val="24"/>
          <w:lang w:val="en-US"/>
        </w:rPr>
      </w:pPr>
      <w:r>
        <w:rPr>
          <w:sz w:val="24"/>
          <w:szCs w:val="24"/>
          <w:lang w:val="en-US"/>
        </w:rPr>
        <w:t>The current YSM analysis for the Okanagan TSA indicates that managed stand yields are not overestimated and may in fact be underestimated.</w:t>
      </w:r>
    </w:p>
    <w:p w14:paraId="0C0A657A" w14:textId="05E3A083" w:rsidR="00857EB2" w:rsidRDefault="00857EB2" w:rsidP="00C215E3">
      <w:pPr>
        <w:spacing w:after="0" w:line="276" w:lineRule="auto"/>
        <w:rPr>
          <w:sz w:val="24"/>
          <w:szCs w:val="24"/>
          <w:lang w:val="en-US"/>
        </w:rPr>
      </w:pPr>
    </w:p>
    <w:p w14:paraId="089174FF" w14:textId="153F5B1E" w:rsidR="00857EB2" w:rsidRDefault="00857EB2" w:rsidP="00C215E3">
      <w:pPr>
        <w:spacing w:after="0" w:line="276" w:lineRule="auto"/>
        <w:rPr>
          <w:sz w:val="24"/>
          <w:szCs w:val="24"/>
          <w:lang w:val="en-US"/>
        </w:rPr>
      </w:pPr>
      <w:r>
        <w:rPr>
          <w:sz w:val="24"/>
          <w:szCs w:val="24"/>
          <w:lang w:val="en-US"/>
        </w:rPr>
        <w:t xml:space="preserve">As with the MIA analysis, questions have been raised as to the statistical validity of the YSM analysis and it too is now undergoing a statistical review by a qualified biometrician. </w:t>
      </w:r>
    </w:p>
    <w:p w14:paraId="0BFDF9A4" w14:textId="6D7AA8CA" w:rsidR="00857EB2" w:rsidRDefault="00857EB2" w:rsidP="00C215E3">
      <w:pPr>
        <w:spacing w:after="0" w:line="276" w:lineRule="auto"/>
        <w:rPr>
          <w:sz w:val="24"/>
          <w:szCs w:val="24"/>
          <w:lang w:val="en-US"/>
        </w:rPr>
      </w:pPr>
    </w:p>
    <w:p w14:paraId="41FC1ED4" w14:textId="77777777" w:rsidR="00857EB2" w:rsidRDefault="00857EB2" w:rsidP="00857EB2">
      <w:pPr>
        <w:spacing w:after="0" w:line="276" w:lineRule="auto"/>
        <w:rPr>
          <w:sz w:val="24"/>
          <w:szCs w:val="24"/>
          <w:lang w:val="en-US"/>
        </w:rPr>
      </w:pPr>
      <w:r>
        <w:rPr>
          <w:sz w:val="24"/>
          <w:szCs w:val="24"/>
          <w:lang w:val="en-US"/>
        </w:rPr>
        <w:t>Our concern at this point is the TSR and AAC determination processes are proceeding before the statistical review of the analysis the Chief Forester relies on to determine the adequacy of the data for use in the AAC determination has been completed.</w:t>
      </w:r>
    </w:p>
    <w:p w14:paraId="00377A4B" w14:textId="77777777" w:rsidR="00857EB2" w:rsidRDefault="00857EB2" w:rsidP="00857EB2">
      <w:pPr>
        <w:spacing w:after="0" w:line="276" w:lineRule="auto"/>
        <w:rPr>
          <w:sz w:val="24"/>
          <w:szCs w:val="24"/>
          <w:lang w:val="en-US"/>
        </w:rPr>
      </w:pPr>
    </w:p>
    <w:p w14:paraId="343E614A" w14:textId="19BE6554" w:rsidR="00194BA0" w:rsidRDefault="00857EB2" w:rsidP="00D9621E">
      <w:pPr>
        <w:spacing w:after="0" w:line="276" w:lineRule="auto"/>
        <w:rPr>
          <w:sz w:val="24"/>
          <w:szCs w:val="24"/>
          <w:lang w:val="en-US"/>
        </w:rPr>
      </w:pPr>
      <w:r>
        <w:rPr>
          <w:sz w:val="24"/>
          <w:szCs w:val="24"/>
          <w:lang w:val="en-US"/>
        </w:rPr>
        <w:t>We do expect to have a chance to comment on the managed stand yields once the statistical review has been completed and made public.</w:t>
      </w:r>
      <w:r w:rsidR="00194BA0">
        <w:rPr>
          <w:sz w:val="24"/>
          <w:szCs w:val="24"/>
          <w:lang w:val="en-US"/>
        </w:rPr>
        <w:br w:type="page"/>
      </w:r>
    </w:p>
    <w:p w14:paraId="3400254F" w14:textId="3FB4EC61" w:rsidR="006A7B5B" w:rsidRDefault="006A7B5B" w:rsidP="00C215E3">
      <w:pPr>
        <w:spacing w:after="0" w:line="276" w:lineRule="auto"/>
        <w:rPr>
          <w:b/>
          <w:bCs/>
          <w:sz w:val="24"/>
          <w:szCs w:val="24"/>
          <w:lang w:val="en-US"/>
        </w:rPr>
      </w:pPr>
      <w:r>
        <w:rPr>
          <w:b/>
          <w:bCs/>
          <w:sz w:val="24"/>
          <w:szCs w:val="24"/>
          <w:lang w:val="en-US"/>
        </w:rPr>
        <w:lastRenderedPageBreak/>
        <w:t>Stand Development Monitoring Data</w:t>
      </w:r>
    </w:p>
    <w:p w14:paraId="1ADD12B7" w14:textId="7F9245B3" w:rsidR="006A7B5B" w:rsidRDefault="006A7B5B" w:rsidP="00C215E3">
      <w:pPr>
        <w:spacing w:after="0" w:line="276" w:lineRule="auto"/>
        <w:rPr>
          <w:sz w:val="24"/>
          <w:szCs w:val="24"/>
          <w:lang w:val="en-US"/>
        </w:rPr>
      </w:pPr>
    </w:p>
    <w:p w14:paraId="5FF4E579" w14:textId="301A184B" w:rsidR="00C0392B" w:rsidRDefault="00C0392B" w:rsidP="00C215E3">
      <w:pPr>
        <w:spacing w:after="0" w:line="276" w:lineRule="auto"/>
        <w:rPr>
          <w:sz w:val="24"/>
          <w:szCs w:val="24"/>
          <w:lang w:val="en-US"/>
        </w:rPr>
      </w:pPr>
      <w:r>
        <w:rPr>
          <w:sz w:val="24"/>
          <w:szCs w:val="24"/>
          <w:lang w:val="en-US"/>
        </w:rPr>
        <w:t>Stand Development Monitoring (SDM) data were collected in stands 15 to 50 years old in the Okanagan TSA. This data has not been used in the TSR process to assess TASS/TIPSY yield predictions or forest health issues.</w:t>
      </w:r>
    </w:p>
    <w:p w14:paraId="3F7FDAEE" w14:textId="7422C7F7" w:rsidR="00A5258E" w:rsidRDefault="00A5258E" w:rsidP="00C215E3">
      <w:pPr>
        <w:spacing w:after="0" w:line="276" w:lineRule="auto"/>
        <w:rPr>
          <w:sz w:val="24"/>
          <w:szCs w:val="24"/>
          <w:lang w:val="en-US"/>
        </w:rPr>
      </w:pPr>
    </w:p>
    <w:p w14:paraId="755E4873" w14:textId="4458BD91" w:rsidR="00C0392B" w:rsidRDefault="00C0392B" w:rsidP="00C215E3">
      <w:pPr>
        <w:spacing w:after="0" w:line="276" w:lineRule="auto"/>
        <w:rPr>
          <w:sz w:val="24"/>
          <w:szCs w:val="24"/>
          <w:lang w:val="en-US"/>
        </w:rPr>
      </w:pPr>
      <w:r>
        <w:rPr>
          <w:sz w:val="24"/>
          <w:szCs w:val="24"/>
          <w:lang w:val="en-US"/>
        </w:rPr>
        <w:t xml:space="preserve">Version 1 of the SDM program used a different methodology to collect forest health data than the YSM program. The YSM program collects data on all forest health agents present and will require plot remeasurements over time to assess the impact on tree growth and survival. In the meantime, impact is being estimated from an office in Victoria for use in </w:t>
      </w:r>
      <w:r w:rsidR="00A26B89">
        <w:rPr>
          <w:sz w:val="24"/>
          <w:szCs w:val="24"/>
          <w:lang w:val="en-US"/>
        </w:rPr>
        <w:t xml:space="preserve">the </w:t>
      </w:r>
      <w:r w:rsidR="004F4125">
        <w:rPr>
          <w:sz w:val="24"/>
          <w:szCs w:val="24"/>
          <w:lang w:val="en-US"/>
        </w:rPr>
        <w:t xml:space="preserve">current </w:t>
      </w:r>
      <w:r w:rsidR="00A26B89">
        <w:rPr>
          <w:sz w:val="24"/>
          <w:szCs w:val="24"/>
          <w:lang w:val="en-US"/>
        </w:rPr>
        <w:t>TSR and AAC determination processes</w:t>
      </w:r>
      <w:r>
        <w:rPr>
          <w:sz w:val="24"/>
          <w:szCs w:val="24"/>
          <w:lang w:val="en-US"/>
        </w:rPr>
        <w:t xml:space="preserve">. The SDM data only </w:t>
      </w:r>
      <w:r w:rsidR="00A13A35">
        <w:rPr>
          <w:sz w:val="24"/>
          <w:szCs w:val="24"/>
          <w:lang w:val="en-US"/>
        </w:rPr>
        <w:t>recorded</w:t>
      </w:r>
      <w:r>
        <w:rPr>
          <w:sz w:val="24"/>
          <w:szCs w:val="24"/>
          <w:lang w:val="en-US"/>
        </w:rPr>
        <w:t xml:space="preserve"> a forest health agent if the field person felt it would have an impact on tree survival or growth at the time of future harvest. In this case the impact has already been estimated by someone in the field looking directly at the tree. While the YSM methodology will provide better information over time for model development, the SDM methodology most likely provides better information for use in the </w:t>
      </w:r>
      <w:r w:rsidR="00A26B89">
        <w:rPr>
          <w:sz w:val="24"/>
          <w:szCs w:val="24"/>
          <w:lang w:val="en-US"/>
        </w:rPr>
        <w:t xml:space="preserve">current </w:t>
      </w:r>
      <w:r>
        <w:rPr>
          <w:sz w:val="24"/>
          <w:szCs w:val="24"/>
          <w:lang w:val="en-US"/>
        </w:rPr>
        <w:t xml:space="preserve">TSR </w:t>
      </w:r>
      <w:r w:rsidR="00A26B89">
        <w:rPr>
          <w:sz w:val="24"/>
          <w:szCs w:val="24"/>
          <w:lang w:val="en-US"/>
        </w:rPr>
        <w:t xml:space="preserve">and AAC determination </w:t>
      </w:r>
      <w:r>
        <w:rPr>
          <w:sz w:val="24"/>
          <w:szCs w:val="24"/>
          <w:lang w:val="en-US"/>
        </w:rPr>
        <w:t>process</w:t>
      </w:r>
      <w:r w:rsidR="00A26B89">
        <w:rPr>
          <w:sz w:val="24"/>
          <w:szCs w:val="24"/>
          <w:lang w:val="en-US"/>
        </w:rPr>
        <w:t>es.</w:t>
      </w:r>
    </w:p>
    <w:p w14:paraId="16C09048" w14:textId="746BCBC2" w:rsidR="00A26B89" w:rsidRDefault="00A26B89" w:rsidP="00C215E3">
      <w:pPr>
        <w:spacing w:after="0" w:line="276" w:lineRule="auto"/>
        <w:rPr>
          <w:sz w:val="24"/>
          <w:szCs w:val="24"/>
          <w:lang w:val="en-US"/>
        </w:rPr>
      </w:pPr>
    </w:p>
    <w:p w14:paraId="6674B4C1" w14:textId="0749D30C" w:rsidR="00A26B89" w:rsidRDefault="00A26B89" w:rsidP="00C215E3">
      <w:pPr>
        <w:spacing w:after="0" w:line="276" w:lineRule="auto"/>
        <w:rPr>
          <w:sz w:val="24"/>
          <w:szCs w:val="24"/>
          <w:lang w:val="en-US"/>
        </w:rPr>
      </w:pPr>
      <w:r>
        <w:rPr>
          <w:sz w:val="24"/>
          <w:szCs w:val="24"/>
          <w:lang w:val="en-US"/>
        </w:rPr>
        <w:t>Excluding the use of SDM data raises the questions as to whether the best available information is being used in the TSR and AAC determination processes.</w:t>
      </w:r>
    </w:p>
    <w:p w14:paraId="69B181DD" w14:textId="77777777" w:rsidR="00C0392B" w:rsidRPr="00A5258E" w:rsidRDefault="00C0392B" w:rsidP="00C215E3">
      <w:pPr>
        <w:spacing w:after="0" w:line="276" w:lineRule="auto"/>
        <w:rPr>
          <w:sz w:val="24"/>
          <w:szCs w:val="24"/>
          <w:lang w:val="en-US"/>
        </w:rPr>
      </w:pPr>
    </w:p>
    <w:p w14:paraId="6635CADB" w14:textId="30F13AB4" w:rsidR="006A7B5B" w:rsidRDefault="006A7B5B" w:rsidP="00C215E3">
      <w:pPr>
        <w:spacing w:after="0" w:line="276" w:lineRule="auto"/>
        <w:rPr>
          <w:b/>
          <w:bCs/>
          <w:sz w:val="24"/>
          <w:szCs w:val="24"/>
          <w:lang w:val="en-US"/>
        </w:rPr>
      </w:pPr>
      <w:r>
        <w:rPr>
          <w:b/>
          <w:bCs/>
          <w:sz w:val="24"/>
          <w:szCs w:val="24"/>
          <w:lang w:val="en-US"/>
        </w:rPr>
        <w:t>Genetic Gain of Select Seed</w:t>
      </w:r>
    </w:p>
    <w:p w14:paraId="725846D9" w14:textId="3DD612C9" w:rsidR="006A7B5B" w:rsidRDefault="006A7B5B" w:rsidP="00C215E3">
      <w:pPr>
        <w:spacing w:after="0" w:line="276" w:lineRule="auto"/>
        <w:rPr>
          <w:sz w:val="24"/>
          <w:szCs w:val="24"/>
          <w:lang w:val="en-US"/>
        </w:rPr>
      </w:pPr>
    </w:p>
    <w:p w14:paraId="589B9118" w14:textId="7E1C0318" w:rsidR="00A5258E" w:rsidRDefault="004F4125" w:rsidP="00C215E3">
      <w:pPr>
        <w:spacing w:after="0" w:line="276" w:lineRule="auto"/>
        <w:rPr>
          <w:sz w:val="24"/>
          <w:szCs w:val="24"/>
          <w:lang w:val="en-US"/>
        </w:rPr>
      </w:pPr>
      <w:r>
        <w:rPr>
          <w:sz w:val="24"/>
          <w:szCs w:val="24"/>
          <w:lang w:val="en-US"/>
        </w:rPr>
        <w:t xml:space="preserve">The genetic gain from select seeds is used in the base case analysis. </w:t>
      </w:r>
    </w:p>
    <w:p w14:paraId="13AFA01D" w14:textId="539E3DB1" w:rsidR="004F4125" w:rsidRDefault="004F4125" w:rsidP="00C215E3">
      <w:pPr>
        <w:spacing w:after="0" w:line="276" w:lineRule="auto"/>
        <w:rPr>
          <w:sz w:val="24"/>
          <w:szCs w:val="24"/>
          <w:lang w:val="en-US"/>
        </w:rPr>
      </w:pPr>
    </w:p>
    <w:p w14:paraId="78B1A23D" w14:textId="72904609" w:rsidR="004F4125" w:rsidRDefault="004F4125" w:rsidP="00C215E3">
      <w:pPr>
        <w:spacing w:after="0" w:line="276" w:lineRule="auto"/>
        <w:rPr>
          <w:sz w:val="24"/>
          <w:szCs w:val="24"/>
          <w:lang w:val="en-US"/>
        </w:rPr>
      </w:pPr>
      <w:r>
        <w:rPr>
          <w:sz w:val="24"/>
          <w:szCs w:val="24"/>
          <w:lang w:val="en-US"/>
        </w:rPr>
        <w:t xml:space="preserve">Current estimates for genetic gain are based on progeny trials which may not provide a realistic estimate. Realized gain trials are required to assess the actual genetic gain under operational conditions. </w:t>
      </w:r>
    </w:p>
    <w:p w14:paraId="23DBAE99" w14:textId="3DC5E9A4" w:rsidR="004F4125" w:rsidRDefault="004F4125" w:rsidP="00C215E3">
      <w:pPr>
        <w:spacing w:after="0" w:line="276" w:lineRule="auto"/>
        <w:rPr>
          <w:sz w:val="24"/>
          <w:szCs w:val="24"/>
          <w:lang w:val="en-US"/>
        </w:rPr>
      </w:pPr>
    </w:p>
    <w:p w14:paraId="6CA10C0C" w14:textId="6FD08BD4" w:rsidR="004F4125" w:rsidRDefault="004F4125" w:rsidP="00C215E3">
      <w:pPr>
        <w:spacing w:after="0" w:line="276" w:lineRule="auto"/>
        <w:rPr>
          <w:sz w:val="24"/>
          <w:szCs w:val="24"/>
          <w:lang w:val="en-US"/>
        </w:rPr>
      </w:pPr>
      <w:r>
        <w:rPr>
          <w:sz w:val="24"/>
          <w:szCs w:val="24"/>
          <w:lang w:val="en-US"/>
        </w:rPr>
        <w:t>To date, there are only published results on realized gain trials for coastal Dougl</w:t>
      </w:r>
      <w:r w:rsidR="00AE2F13">
        <w:rPr>
          <w:sz w:val="24"/>
          <w:szCs w:val="24"/>
          <w:lang w:val="en-US"/>
        </w:rPr>
        <w:t>a</w:t>
      </w:r>
      <w:r>
        <w:rPr>
          <w:sz w:val="24"/>
          <w:szCs w:val="24"/>
          <w:lang w:val="en-US"/>
        </w:rPr>
        <w:t>s-fir</w:t>
      </w:r>
      <w:r w:rsidR="00A13A35">
        <w:rPr>
          <w:sz w:val="24"/>
          <w:szCs w:val="24"/>
          <w:lang w:val="en-US"/>
        </w:rPr>
        <w:t xml:space="preserve"> at ages 12 and 20.</w:t>
      </w:r>
    </w:p>
    <w:p w14:paraId="0CFB1851" w14:textId="17E09F2A" w:rsidR="00AE2F13" w:rsidRDefault="00AE2F13" w:rsidP="00C215E3">
      <w:pPr>
        <w:spacing w:after="0" w:line="276" w:lineRule="auto"/>
        <w:rPr>
          <w:sz w:val="24"/>
          <w:szCs w:val="24"/>
          <w:lang w:val="en-US"/>
        </w:rPr>
      </w:pPr>
    </w:p>
    <w:p w14:paraId="1F46C987" w14:textId="7607749E" w:rsidR="00AE2F13" w:rsidRDefault="00AE2F13" w:rsidP="00C215E3">
      <w:pPr>
        <w:spacing w:after="0" w:line="276" w:lineRule="auto"/>
        <w:rPr>
          <w:sz w:val="24"/>
          <w:szCs w:val="24"/>
          <w:lang w:val="en-US"/>
        </w:rPr>
      </w:pPr>
      <w:r>
        <w:rPr>
          <w:sz w:val="24"/>
          <w:szCs w:val="24"/>
          <w:lang w:val="en-US"/>
        </w:rPr>
        <w:t>Our concern is that genetic gain is being included in the base case with no assessment of the uncertainty associated with the projected gains.</w:t>
      </w:r>
    </w:p>
    <w:p w14:paraId="4D2B8E8D" w14:textId="1B0897F5" w:rsidR="004F4125" w:rsidRDefault="004F4125" w:rsidP="00C215E3">
      <w:pPr>
        <w:spacing w:after="0" w:line="276" w:lineRule="auto"/>
        <w:rPr>
          <w:sz w:val="24"/>
          <w:szCs w:val="24"/>
          <w:lang w:val="en-US"/>
        </w:rPr>
      </w:pPr>
    </w:p>
    <w:p w14:paraId="33BA5896" w14:textId="7B0687CF" w:rsidR="004F4125" w:rsidRDefault="004F4125" w:rsidP="00C215E3">
      <w:pPr>
        <w:spacing w:after="0" w:line="276" w:lineRule="auto"/>
        <w:rPr>
          <w:sz w:val="24"/>
          <w:szCs w:val="24"/>
          <w:lang w:val="en-US"/>
        </w:rPr>
      </w:pPr>
      <w:r>
        <w:rPr>
          <w:sz w:val="24"/>
          <w:szCs w:val="24"/>
          <w:lang w:val="en-US"/>
        </w:rPr>
        <w:t>Genetic gain should o</w:t>
      </w:r>
      <w:r w:rsidR="00AE2F13">
        <w:rPr>
          <w:sz w:val="24"/>
          <w:szCs w:val="24"/>
          <w:lang w:val="en-US"/>
        </w:rPr>
        <w:t>n</w:t>
      </w:r>
      <w:r>
        <w:rPr>
          <w:sz w:val="24"/>
          <w:szCs w:val="24"/>
          <w:lang w:val="en-US"/>
        </w:rPr>
        <w:t>ly be modelled as a sensitivity analysis</w:t>
      </w:r>
      <w:r w:rsidR="00A13A35">
        <w:rPr>
          <w:sz w:val="24"/>
          <w:szCs w:val="24"/>
          <w:lang w:val="en-US"/>
        </w:rPr>
        <w:t>. I</w:t>
      </w:r>
      <w:r>
        <w:rPr>
          <w:sz w:val="24"/>
          <w:szCs w:val="24"/>
          <w:lang w:val="en-US"/>
        </w:rPr>
        <w:t xml:space="preserve">f the Chief Forester wants to include </w:t>
      </w:r>
      <w:r w:rsidR="00AE2F13">
        <w:rPr>
          <w:sz w:val="24"/>
          <w:szCs w:val="24"/>
          <w:lang w:val="en-US"/>
        </w:rPr>
        <w:t xml:space="preserve">it in the base case scenario, the Chief Forester will have to provide some rationale as to why it should be included. </w:t>
      </w:r>
    </w:p>
    <w:p w14:paraId="2D6A306D" w14:textId="3609ED69" w:rsidR="00194BA0" w:rsidRDefault="00194BA0">
      <w:pPr>
        <w:rPr>
          <w:sz w:val="24"/>
          <w:szCs w:val="24"/>
          <w:lang w:val="en-US"/>
        </w:rPr>
      </w:pPr>
      <w:r>
        <w:rPr>
          <w:sz w:val="24"/>
          <w:szCs w:val="24"/>
          <w:lang w:val="en-US"/>
        </w:rPr>
        <w:br w:type="page"/>
      </w:r>
    </w:p>
    <w:p w14:paraId="2DED779E" w14:textId="38B42766" w:rsidR="006A7B5B" w:rsidRPr="00546B0E" w:rsidRDefault="006A7B5B" w:rsidP="00C215E3">
      <w:pPr>
        <w:spacing w:after="0" w:line="276" w:lineRule="auto"/>
        <w:rPr>
          <w:b/>
          <w:bCs/>
          <w:sz w:val="24"/>
          <w:szCs w:val="24"/>
          <w:lang w:val="en-US"/>
        </w:rPr>
      </w:pPr>
      <w:r>
        <w:rPr>
          <w:b/>
          <w:bCs/>
          <w:sz w:val="24"/>
          <w:szCs w:val="24"/>
          <w:lang w:val="en-US"/>
        </w:rPr>
        <w:lastRenderedPageBreak/>
        <w:t>Armillaria Root Rot</w:t>
      </w:r>
    </w:p>
    <w:p w14:paraId="3849CB1C" w14:textId="22F1ED1C" w:rsidR="00546B0E" w:rsidRDefault="00546B0E" w:rsidP="00C215E3">
      <w:pPr>
        <w:spacing w:after="0" w:line="276" w:lineRule="auto"/>
        <w:rPr>
          <w:sz w:val="24"/>
          <w:szCs w:val="24"/>
          <w:lang w:val="en-US"/>
        </w:rPr>
      </w:pPr>
    </w:p>
    <w:p w14:paraId="5B9AFB43" w14:textId="3E64402D" w:rsidR="007771BB" w:rsidRPr="004716F5" w:rsidRDefault="007771BB" w:rsidP="007771BB">
      <w:pPr>
        <w:autoSpaceDE w:val="0"/>
        <w:autoSpaceDN w:val="0"/>
        <w:adjustRightInd w:val="0"/>
        <w:spacing w:after="0" w:line="276" w:lineRule="auto"/>
        <w:rPr>
          <w:rFonts w:cstheme="minorHAnsi"/>
          <w:sz w:val="24"/>
          <w:szCs w:val="24"/>
        </w:rPr>
      </w:pPr>
      <w:r w:rsidRPr="004716F5">
        <w:rPr>
          <w:rFonts w:cstheme="minorHAnsi"/>
          <w:sz w:val="24"/>
          <w:szCs w:val="24"/>
        </w:rPr>
        <w:t>In the previous AAC determination, OAF 2 for Douglas-fir was increased by 5% to account for losses due to Armillaria root rot. The Chief Forester requested that work be done to refine this estimate.</w:t>
      </w:r>
    </w:p>
    <w:p w14:paraId="26FEDC03" w14:textId="77777777" w:rsidR="007771BB" w:rsidRPr="004716F5" w:rsidRDefault="007771BB" w:rsidP="007771BB">
      <w:pPr>
        <w:autoSpaceDE w:val="0"/>
        <w:autoSpaceDN w:val="0"/>
        <w:adjustRightInd w:val="0"/>
        <w:spacing w:after="0" w:line="276" w:lineRule="auto"/>
        <w:rPr>
          <w:rFonts w:cstheme="minorHAnsi"/>
          <w:sz w:val="24"/>
          <w:szCs w:val="24"/>
        </w:rPr>
      </w:pPr>
    </w:p>
    <w:p w14:paraId="65BB3D68" w14:textId="4916F7B8" w:rsidR="00F37FC6" w:rsidRPr="004716F5" w:rsidRDefault="00F37FC6" w:rsidP="007771BB">
      <w:pPr>
        <w:autoSpaceDE w:val="0"/>
        <w:autoSpaceDN w:val="0"/>
        <w:adjustRightInd w:val="0"/>
        <w:spacing w:after="0" w:line="276" w:lineRule="auto"/>
        <w:rPr>
          <w:rFonts w:cstheme="minorHAnsi"/>
          <w:sz w:val="24"/>
          <w:szCs w:val="24"/>
        </w:rPr>
      </w:pPr>
      <w:r w:rsidRPr="004716F5">
        <w:rPr>
          <w:rFonts w:cstheme="minorHAnsi"/>
          <w:sz w:val="24"/>
          <w:szCs w:val="24"/>
        </w:rPr>
        <w:t xml:space="preserve">Section 8.6 of the data package indicates </w:t>
      </w:r>
      <w:r w:rsidR="007771BB" w:rsidRPr="004716F5">
        <w:rPr>
          <w:rFonts w:cstheme="minorHAnsi"/>
          <w:sz w:val="24"/>
          <w:szCs w:val="24"/>
        </w:rPr>
        <w:t xml:space="preserve">the work requested by the Chief Forester in the last AAC determination was not done </w:t>
      </w:r>
      <w:r w:rsidR="00597DAA" w:rsidRPr="004716F5">
        <w:rPr>
          <w:rFonts w:cstheme="minorHAnsi"/>
          <w:sz w:val="24"/>
          <w:szCs w:val="24"/>
        </w:rPr>
        <w:t xml:space="preserve">and once again the </w:t>
      </w:r>
      <w:r w:rsidRPr="004716F5">
        <w:rPr>
          <w:rFonts w:cstheme="minorHAnsi"/>
          <w:sz w:val="24"/>
          <w:szCs w:val="24"/>
        </w:rPr>
        <w:t>managed stand OAF 2 for Douglas-fir was increased</w:t>
      </w:r>
      <w:r w:rsidR="007771BB" w:rsidRPr="004716F5">
        <w:rPr>
          <w:rFonts w:cstheme="minorHAnsi"/>
          <w:sz w:val="24"/>
          <w:szCs w:val="24"/>
        </w:rPr>
        <w:t xml:space="preserve"> </w:t>
      </w:r>
      <w:r w:rsidRPr="004716F5">
        <w:rPr>
          <w:rFonts w:cstheme="minorHAnsi"/>
          <w:sz w:val="24"/>
          <w:szCs w:val="24"/>
        </w:rPr>
        <w:t>by 5% to account for armillaria root rot. This would result in a</w:t>
      </w:r>
      <w:r w:rsidR="007771BB" w:rsidRPr="004716F5">
        <w:rPr>
          <w:rFonts w:cstheme="minorHAnsi"/>
          <w:sz w:val="24"/>
          <w:szCs w:val="24"/>
        </w:rPr>
        <w:t>n additional</w:t>
      </w:r>
      <w:r w:rsidRPr="004716F5">
        <w:rPr>
          <w:rFonts w:cstheme="minorHAnsi"/>
          <w:sz w:val="24"/>
          <w:szCs w:val="24"/>
        </w:rPr>
        <w:t xml:space="preserve"> 5% reduction in volume at age 100</w:t>
      </w:r>
      <w:r w:rsidR="007771BB" w:rsidRPr="004716F5">
        <w:rPr>
          <w:rFonts w:cstheme="minorHAnsi"/>
          <w:sz w:val="24"/>
          <w:szCs w:val="24"/>
        </w:rPr>
        <w:t xml:space="preserve"> due to Armillaria.</w:t>
      </w:r>
    </w:p>
    <w:p w14:paraId="2F9E7372" w14:textId="77777777" w:rsidR="007771BB" w:rsidRPr="004716F5" w:rsidRDefault="007771BB" w:rsidP="007771BB">
      <w:pPr>
        <w:autoSpaceDE w:val="0"/>
        <w:autoSpaceDN w:val="0"/>
        <w:adjustRightInd w:val="0"/>
        <w:spacing w:after="0" w:line="276" w:lineRule="auto"/>
        <w:rPr>
          <w:rFonts w:cstheme="minorHAnsi"/>
          <w:sz w:val="24"/>
          <w:szCs w:val="24"/>
        </w:rPr>
      </w:pPr>
    </w:p>
    <w:p w14:paraId="5B2FB52B" w14:textId="1DD405A2" w:rsidR="00F37FC6" w:rsidRPr="004716F5" w:rsidRDefault="00F37FC6" w:rsidP="007771BB">
      <w:pPr>
        <w:autoSpaceDE w:val="0"/>
        <w:autoSpaceDN w:val="0"/>
        <w:adjustRightInd w:val="0"/>
        <w:spacing w:after="0" w:line="276" w:lineRule="auto"/>
        <w:rPr>
          <w:rFonts w:cstheme="minorHAnsi"/>
          <w:sz w:val="24"/>
          <w:szCs w:val="24"/>
        </w:rPr>
      </w:pPr>
      <w:r w:rsidRPr="004716F5">
        <w:rPr>
          <w:rFonts w:cstheme="minorHAnsi"/>
          <w:sz w:val="24"/>
          <w:szCs w:val="24"/>
        </w:rPr>
        <w:t xml:space="preserve">TIPSY contains </w:t>
      </w:r>
      <w:r w:rsidR="00957C20" w:rsidRPr="004716F5">
        <w:rPr>
          <w:rFonts w:cstheme="minorHAnsi"/>
          <w:sz w:val="24"/>
          <w:szCs w:val="24"/>
        </w:rPr>
        <w:t>A</w:t>
      </w:r>
      <w:r w:rsidRPr="004716F5">
        <w:rPr>
          <w:rFonts w:cstheme="minorHAnsi"/>
          <w:sz w:val="24"/>
          <w:szCs w:val="24"/>
        </w:rPr>
        <w:t xml:space="preserve">rmillaria </w:t>
      </w:r>
      <w:r w:rsidR="00047959">
        <w:rPr>
          <w:rFonts w:cstheme="minorHAnsi"/>
          <w:sz w:val="24"/>
          <w:szCs w:val="24"/>
        </w:rPr>
        <w:t xml:space="preserve">custom OAF </w:t>
      </w:r>
      <w:r w:rsidRPr="004716F5">
        <w:rPr>
          <w:rFonts w:cstheme="minorHAnsi"/>
          <w:sz w:val="24"/>
          <w:szCs w:val="24"/>
        </w:rPr>
        <w:t>reductions for Douglas-fir in the ICH that are much higher than this:</w:t>
      </w:r>
    </w:p>
    <w:p w14:paraId="50460C29" w14:textId="5ECCB02A" w:rsidR="00F37FC6" w:rsidRPr="004716F5" w:rsidRDefault="00F37FC6" w:rsidP="007771BB">
      <w:pPr>
        <w:pStyle w:val="ListParagraph"/>
        <w:numPr>
          <w:ilvl w:val="0"/>
          <w:numId w:val="6"/>
        </w:numPr>
        <w:autoSpaceDE w:val="0"/>
        <w:autoSpaceDN w:val="0"/>
        <w:adjustRightInd w:val="0"/>
        <w:spacing w:after="0" w:line="276" w:lineRule="auto"/>
        <w:rPr>
          <w:rFonts w:cstheme="minorHAnsi"/>
          <w:sz w:val="24"/>
          <w:szCs w:val="24"/>
        </w:rPr>
      </w:pPr>
      <w:r w:rsidRPr="004716F5">
        <w:rPr>
          <w:rFonts w:cstheme="minorHAnsi"/>
          <w:sz w:val="24"/>
          <w:szCs w:val="24"/>
        </w:rPr>
        <w:t>A low level of incidence is a 30% reduction in volume at age 100</w:t>
      </w:r>
      <w:r w:rsidR="00597DAA" w:rsidRPr="004716F5">
        <w:rPr>
          <w:rFonts w:cstheme="minorHAnsi"/>
          <w:sz w:val="24"/>
          <w:szCs w:val="24"/>
        </w:rPr>
        <w:t>.</w:t>
      </w:r>
    </w:p>
    <w:p w14:paraId="2A4D5D0F" w14:textId="6D8F2BB9" w:rsidR="00F37FC6" w:rsidRPr="004716F5" w:rsidRDefault="00F37FC6" w:rsidP="007771BB">
      <w:pPr>
        <w:pStyle w:val="ListParagraph"/>
        <w:numPr>
          <w:ilvl w:val="0"/>
          <w:numId w:val="6"/>
        </w:numPr>
        <w:autoSpaceDE w:val="0"/>
        <w:autoSpaceDN w:val="0"/>
        <w:adjustRightInd w:val="0"/>
        <w:spacing w:after="0" w:line="276" w:lineRule="auto"/>
        <w:rPr>
          <w:rFonts w:cstheme="minorHAnsi"/>
          <w:sz w:val="24"/>
          <w:szCs w:val="24"/>
        </w:rPr>
      </w:pPr>
      <w:r w:rsidRPr="004716F5">
        <w:rPr>
          <w:rFonts w:cstheme="minorHAnsi"/>
          <w:sz w:val="24"/>
          <w:szCs w:val="24"/>
        </w:rPr>
        <w:t>A medium level of incidence is a 46% reduction in volume at age 100</w:t>
      </w:r>
      <w:r w:rsidR="00597DAA" w:rsidRPr="004716F5">
        <w:rPr>
          <w:rFonts w:cstheme="minorHAnsi"/>
          <w:sz w:val="24"/>
          <w:szCs w:val="24"/>
        </w:rPr>
        <w:t>.</w:t>
      </w:r>
    </w:p>
    <w:p w14:paraId="74F7CBF5" w14:textId="288D4AB3" w:rsidR="00F37FC6" w:rsidRPr="004716F5" w:rsidRDefault="00F37FC6" w:rsidP="007771BB">
      <w:pPr>
        <w:pStyle w:val="ListParagraph"/>
        <w:numPr>
          <w:ilvl w:val="0"/>
          <w:numId w:val="6"/>
        </w:numPr>
        <w:autoSpaceDE w:val="0"/>
        <w:autoSpaceDN w:val="0"/>
        <w:adjustRightInd w:val="0"/>
        <w:spacing w:after="0" w:line="276" w:lineRule="auto"/>
        <w:rPr>
          <w:rFonts w:cstheme="minorHAnsi"/>
          <w:sz w:val="24"/>
          <w:szCs w:val="24"/>
        </w:rPr>
      </w:pPr>
      <w:r w:rsidRPr="004716F5">
        <w:rPr>
          <w:rFonts w:cstheme="minorHAnsi"/>
          <w:sz w:val="24"/>
          <w:szCs w:val="24"/>
        </w:rPr>
        <w:t>A high level of incidence is a 63% reduction in volume at age 100</w:t>
      </w:r>
      <w:r w:rsidR="00597DAA" w:rsidRPr="004716F5">
        <w:rPr>
          <w:rFonts w:cstheme="minorHAnsi"/>
          <w:sz w:val="24"/>
          <w:szCs w:val="24"/>
        </w:rPr>
        <w:t>.</w:t>
      </w:r>
    </w:p>
    <w:p w14:paraId="5EA504B9" w14:textId="77777777" w:rsidR="007771BB" w:rsidRPr="004716F5" w:rsidRDefault="007771BB" w:rsidP="007771BB">
      <w:pPr>
        <w:autoSpaceDE w:val="0"/>
        <w:autoSpaceDN w:val="0"/>
        <w:adjustRightInd w:val="0"/>
        <w:spacing w:after="0" w:line="276" w:lineRule="auto"/>
        <w:rPr>
          <w:rFonts w:cstheme="minorHAnsi"/>
          <w:sz w:val="24"/>
          <w:szCs w:val="24"/>
        </w:rPr>
      </w:pPr>
    </w:p>
    <w:p w14:paraId="0248E979" w14:textId="182B2639" w:rsidR="00F37FC6" w:rsidRPr="004716F5" w:rsidRDefault="00597DAA" w:rsidP="007771BB">
      <w:pPr>
        <w:autoSpaceDE w:val="0"/>
        <w:autoSpaceDN w:val="0"/>
        <w:adjustRightInd w:val="0"/>
        <w:spacing w:after="0" w:line="276" w:lineRule="auto"/>
        <w:rPr>
          <w:rFonts w:cstheme="minorHAnsi"/>
          <w:sz w:val="24"/>
          <w:szCs w:val="24"/>
        </w:rPr>
      </w:pPr>
      <w:r w:rsidRPr="004716F5">
        <w:rPr>
          <w:rFonts w:cstheme="minorHAnsi"/>
          <w:sz w:val="24"/>
          <w:szCs w:val="24"/>
        </w:rPr>
        <w:t xml:space="preserve">In contrast, work was done in the Arrow TSA to quantify the losses to Armillaria root rot. Results </w:t>
      </w:r>
      <w:r w:rsidR="00F37FC6" w:rsidRPr="004716F5">
        <w:rPr>
          <w:rFonts w:cstheme="minorHAnsi"/>
          <w:sz w:val="24"/>
          <w:szCs w:val="24"/>
        </w:rPr>
        <w:t>indicate a reduction of 17% for all conifers in addition</w:t>
      </w:r>
      <w:r w:rsidRPr="004716F5">
        <w:rPr>
          <w:rFonts w:cstheme="minorHAnsi"/>
          <w:sz w:val="24"/>
          <w:szCs w:val="24"/>
        </w:rPr>
        <w:t xml:space="preserve"> </w:t>
      </w:r>
      <w:r w:rsidR="00F37FC6" w:rsidRPr="004716F5">
        <w:rPr>
          <w:rFonts w:cstheme="minorHAnsi"/>
          <w:sz w:val="24"/>
          <w:szCs w:val="24"/>
        </w:rPr>
        <w:t>to the standard OAF 1 and 2 reductions of 10 and 5%. Although it was not applied in the base</w:t>
      </w:r>
      <w:r w:rsidRPr="004716F5">
        <w:rPr>
          <w:rFonts w:cstheme="minorHAnsi"/>
          <w:sz w:val="24"/>
          <w:szCs w:val="24"/>
        </w:rPr>
        <w:t xml:space="preserve"> </w:t>
      </w:r>
      <w:r w:rsidR="00F37FC6" w:rsidRPr="004716F5">
        <w:rPr>
          <w:rFonts w:cstheme="minorHAnsi"/>
          <w:sz w:val="24"/>
          <w:szCs w:val="24"/>
        </w:rPr>
        <w:t xml:space="preserve">case for the </w:t>
      </w:r>
      <w:r w:rsidR="00957C20" w:rsidRPr="004716F5">
        <w:rPr>
          <w:rFonts w:cstheme="minorHAnsi"/>
          <w:sz w:val="24"/>
          <w:szCs w:val="24"/>
        </w:rPr>
        <w:t>2017</w:t>
      </w:r>
      <w:r w:rsidR="00F37FC6" w:rsidRPr="004716F5">
        <w:rPr>
          <w:rFonts w:cstheme="minorHAnsi"/>
          <w:sz w:val="24"/>
          <w:szCs w:val="24"/>
        </w:rPr>
        <w:t xml:space="preserve"> AAC determination, the chief forester determined that not accounting for</w:t>
      </w:r>
      <w:r w:rsidRPr="004716F5">
        <w:rPr>
          <w:rFonts w:cstheme="minorHAnsi"/>
          <w:sz w:val="24"/>
          <w:szCs w:val="24"/>
        </w:rPr>
        <w:t xml:space="preserve"> </w:t>
      </w:r>
      <w:r w:rsidR="00F37FC6" w:rsidRPr="004716F5">
        <w:rPr>
          <w:rFonts w:cstheme="minorHAnsi"/>
          <w:sz w:val="24"/>
          <w:szCs w:val="24"/>
        </w:rPr>
        <w:t>armillaria resulted in a 12% over-estimation in the long-term harvest level.</w:t>
      </w:r>
    </w:p>
    <w:p w14:paraId="7B4B5540" w14:textId="141270F6" w:rsidR="00597DAA" w:rsidRPr="004716F5" w:rsidRDefault="00597DAA" w:rsidP="007771BB">
      <w:pPr>
        <w:autoSpaceDE w:val="0"/>
        <w:autoSpaceDN w:val="0"/>
        <w:adjustRightInd w:val="0"/>
        <w:spacing w:after="0" w:line="276" w:lineRule="auto"/>
        <w:rPr>
          <w:rFonts w:cstheme="minorHAnsi"/>
          <w:sz w:val="24"/>
          <w:szCs w:val="24"/>
        </w:rPr>
      </w:pPr>
    </w:p>
    <w:p w14:paraId="228458D2" w14:textId="13FDE31C" w:rsidR="00597DAA" w:rsidRPr="004716F5" w:rsidRDefault="00957C20" w:rsidP="007771BB">
      <w:pPr>
        <w:autoSpaceDE w:val="0"/>
        <w:autoSpaceDN w:val="0"/>
        <w:adjustRightInd w:val="0"/>
        <w:spacing w:after="0" w:line="276" w:lineRule="auto"/>
        <w:rPr>
          <w:rFonts w:cstheme="minorHAnsi"/>
          <w:sz w:val="24"/>
          <w:szCs w:val="24"/>
        </w:rPr>
      </w:pPr>
      <w:r w:rsidRPr="004716F5">
        <w:rPr>
          <w:rFonts w:cstheme="minorHAnsi"/>
          <w:sz w:val="24"/>
          <w:szCs w:val="24"/>
        </w:rPr>
        <w:t>Similarly</w:t>
      </w:r>
      <w:r w:rsidR="00597DAA" w:rsidRPr="004716F5">
        <w:rPr>
          <w:rFonts w:cstheme="minorHAnsi"/>
          <w:sz w:val="24"/>
          <w:szCs w:val="24"/>
        </w:rPr>
        <w:t xml:space="preserve">, the </w:t>
      </w:r>
      <w:r w:rsidRPr="004716F5">
        <w:rPr>
          <w:rFonts w:cstheme="minorHAnsi"/>
          <w:sz w:val="24"/>
          <w:szCs w:val="24"/>
        </w:rPr>
        <w:t xml:space="preserve">2016 Kamloops AAC determination applied the TIPSY medium level </w:t>
      </w:r>
      <w:r w:rsidR="00047959">
        <w:rPr>
          <w:rFonts w:cstheme="minorHAnsi"/>
          <w:sz w:val="24"/>
          <w:szCs w:val="24"/>
        </w:rPr>
        <w:t xml:space="preserve">custom OAF </w:t>
      </w:r>
      <w:r w:rsidRPr="004716F5">
        <w:rPr>
          <w:rFonts w:cstheme="minorHAnsi"/>
          <w:sz w:val="24"/>
          <w:szCs w:val="24"/>
        </w:rPr>
        <w:t xml:space="preserve">reduction </w:t>
      </w:r>
      <w:r w:rsidR="00047959">
        <w:rPr>
          <w:rFonts w:cstheme="minorHAnsi"/>
          <w:sz w:val="24"/>
          <w:szCs w:val="24"/>
        </w:rPr>
        <w:t xml:space="preserve">for Armillaria </w:t>
      </w:r>
      <w:r w:rsidRPr="004716F5">
        <w:rPr>
          <w:rFonts w:cstheme="minorHAnsi"/>
          <w:sz w:val="24"/>
          <w:szCs w:val="24"/>
        </w:rPr>
        <w:t>to Douglas-fir in the ICH.</w:t>
      </w:r>
    </w:p>
    <w:p w14:paraId="74AA99B9" w14:textId="4FD831C9" w:rsidR="00957C20" w:rsidRPr="004716F5" w:rsidRDefault="00957C20" w:rsidP="007771BB">
      <w:pPr>
        <w:autoSpaceDE w:val="0"/>
        <w:autoSpaceDN w:val="0"/>
        <w:adjustRightInd w:val="0"/>
        <w:spacing w:after="0" w:line="276" w:lineRule="auto"/>
        <w:rPr>
          <w:rFonts w:cstheme="minorHAnsi"/>
          <w:sz w:val="24"/>
          <w:szCs w:val="24"/>
        </w:rPr>
      </w:pPr>
    </w:p>
    <w:p w14:paraId="71339FB4" w14:textId="0735602A" w:rsidR="00F37FC6" w:rsidRPr="004716F5" w:rsidRDefault="00957C20" w:rsidP="007771BB">
      <w:pPr>
        <w:autoSpaceDE w:val="0"/>
        <w:autoSpaceDN w:val="0"/>
        <w:adjustRightInd w:val="0"/>
        <w:spacing w:after="0" w:line="276" w:lineRule="auto"/>
        <w:rPr>
          <w:rFonts w:cstheme="minorHAnsi"/>
          <w:sz w:val="24"/>
          <w:szCs w:val="24"/>
        </w:rPr>
      </w:pPr>
      <w:r w:rsidRPr="004716F5">
        <w:rPr>
          <w:rFonts w:cstheme="minorHAnsi"/>
          <w:sz w:val="24"/>
          <w:szCs w:val="24"/>
        </w:rPr>
        <w:t>Our questions on w</w:t>
      </w:r>
      <w:r w:rsidR="00F37FC6" w:rsidRPr="004716F5">
        <w:rPr>
          <w:rFonts w:cstheme="minorHAnsi"/>
          <w:sz w:val="24"/>
          <w:szCs w:val="24"/>
        </w:rPr>
        <w:t>hat percentage of Douglas-fir leading existing and future managed stands at time 100 of the</w:t>
      </w:r>
      <w:r w:rsidRPr="004716F5">
        <w:rPr>
          <w:rFonts w:cstheme="minorHAnsi"/>
          <w:sz w:val="24"/>
          <w:szCs w:val="24"/>
        </w:rPr>
        <w:t xml:space="preserve"> </w:t>
      </w:r>
      <w:r w:rsidR="00F37FC6" w:rsidRPr="004716F5">
        <w:rPr>
          <w:rFonts w:cstheme="minorHAnsi"/>
          <w:sz w:val="24"/>
          <w:szCs w:val="24"/>
        </w:rPr>
        <w:t>base case projection are in the ICH</w:t>
      </w:r>
      <w:r w:rsidRPr="004716F5">
        <w:rPr>
          <w:rFonts w:cstheme="minorHAnsi"/>
          <w:sz w:val="24"/>
          <w:szCs w:val="24"/>
        </w:rPr>
        <w:t xml:space="preserve"> and w</w:t>
      </w:r>
      <w:r w:rsidR="00F37FC6" w:rsidRPr="004716F5">
        <w:rPr>
          <w:rFonts w:cstheme="minorHAnsi"/>
          <w:sz w:val="24"/>
          <w:szCs w:val="24"/>
        </w:rPr>
        <w:t>hat is the basis for the pathologists’ recommendation to increase OAF 2 by only 5%</w:t>
      </w:r>
      <w:r w:rsidRPr="004716F5">
        <w:rPr>
          <w:rFonts w:cstheme="minorHAnsi"/>
          <w:sz w:val="24"/>
          <w:szCs w:val="24"/>
        </w:rPr>
        <w:t xml:space="preserve"> were not answered.</w:t>
      </w:r>
    </w:p>
    <w:p w14:paraId="05577523" w14:textId="25B6D153" w:rsidR="00957C20" w:rsidRPr="004716F5" w:rsidRDefault="00957C20" w:rsidP="007771BB">
      <w:pPr>
        <w:autoSpaceDE w:val="0"/>
        <w:autoSpaceDN w:val="0"/>
        <w:adjustRightInd w:val="0"/>
        <w:spacing w:after="0" w:line="276" w:lineRule="auto"/>
        <w:rPr>
          <w:rFonts w:cstheme="minorHAnsi"/>
          <w:sz w:val="24"/>
          <w:szCs w:val="24"/>
        </w:rPr>
      </w:pPr>
    </w:p>
    <w:p w14:paraId="3622223E" w14:textId="0A270185" w:rsidR="00A5258E" w:rsidRPr="004716F5" w:rsidRDefault="00957C20" w:rsidP="00957C20">
      <w:pPr>
        <w:autoSpaceDE w:val="0"/>
        <w:autoSpaceDN w:val="0"/>
        <w:adjustRightInd w:val="0"/>
        <w:spacing w:after="0" w:line="276" w:lineRule="auto"/>
        <w:rPr>
          <w:rFonts w:cstheme="minorHAnsi"/>
          <w:sz w:val="24"/>
          <w:szCs w:val="24"/>
        </w:rPr>
      </w:pPr>
      <w:r w:rsidRPr="004716F5">
        <w:rPr>
          <w:rFonts w:cstheme="minorHAnsi"/>
          <w:sz w:val="24"/>
          <w:szCs w:val="24"/>
        </w:rPr>
        <w:t>In addition, t</w:t>
      </w:r>
      <w:r w:rsidR="00F37FC6" w:rsidRPr="004716F5">
        <w:rPr>
          <w:rFonts w:cstheme="minorHAnsi"/>
          <w:sz w:val="24"/>
          <w:szCs w:val="24"/>
        </w:rPr>
        <w:t>he data package also indicated a sensitivity analysis would use the clumped spatial distribution</w:t>
      </w:r>
      <w:r w:rsidRPr="004716F5">
        <w:rPr>
          <w:rFonts w:cstheme="minorHAnsi"/>
          <w:sz w:val="24"/>
          <w:szCs w:val="24"/>
        </w:rPr>
        <w:t xml:space="preserve"> </w:t>
      </w:r>
      <w:r w:rsidR="00F37FC6" w:rsidRPr="004716F5">
        <w:rPr>
          <w:rFonts w:cstheme="minorHAnsi"/>
          <w:sz w:val="24"/>
          <w:szCs w:val="24"/>
        </w:rPr>
        <w:t>in TIPSY for Douglas-fir in the ICH. This appears to not have been done</w:t>
      </w:r>
      <w:r w:rsidRPr="004716F5">
        <w:rPr>
          <w:rFonts w:cstheme="minorHAnsi"/>
          <w:sz w:val="24"/>
          <w:szCs w:val="24"/>
        </w:rPr>
        <w:t xml:space="preserve"> and our question as to why not was not answered</w:t>
      </w:r>
      <w:r w:rsidR="00F37FC6" w:rsidRPr="004716F5">
        <w:rPr>
          <w:rFonts w:cstheme="minorHAnsi"/>
          <w:sz w:val="24"/>
          <w:szCs w:val="24"/>
        </w:rPr>
        <w:t xml:space="preserve">. </w:t>
      </w:r>
    </w:p>
    <w:p w14:paraId="1127F85B" w14:textId="456F8131" w:rsidR="00F37FC6" w:rsidRPr="004716F5" w:rsidRDefault="00F37FC6" w:rsidP="00F37FC6">
      <w:pPr>
        <w:spacing w:after="0" w:line="276" w:lineRule="auto"/>
        <w:rPr>
          <w:rFonts w:cstheme="minorHAnsi"/>
          <w:sz w:val="24"/>
          <w:szCs w:val="24"/>
        </w:rPr>
      </w:pPr>
    </w:p>
    <w:p w14:paraId="1771BF50" w14:textId="4189A152" w:rsidR="00546B0E" w:rsidRPr="004716F5" w:rsidRDefault="00957C20" w:rsidP="00C215E3">
      <w:pPr>
        <w:spacing w:after="0" w:line="276" w:lineRule="auto"/>
        <w:rPr>
          <w:rFonts w:cstheme="minorHAnsi"/>
          <w:sz w:val="24"/>
          <w:szCs w:val="24"/>
          <w:lang w:val="en-US"/>
        </w:rPr>
      </w:pPr>
      <w:r w:rsidRPr="004716F5">
        <w:rPr>
          <w:rFonts w:cstheme="minorHAnsi"/>
          <w:sz w:val="24"/>
          <w:szCs w:val="24"/>
        </w:rPr>
        <w:t>Our concern is that while losses to Armillaria root rot are using the best available information in the Arrow and Kamloops TSAs, the best information available is being ignored in the Okanagan TSA.</w:t>
      </w:r>
    </w:p>
    <w:sectPr w:rsidR="00546B0E" w:rsidRPr="004716F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DA87A9" w14:textId="77777777" w:rsidR="002A55D4" w:rsidRDefault="002A55D4" w:rsidP="00AD6704">
      <w:pPr>
        <w:spacing w:after="0" w:line="240" w:lineRule="auto"/>
      </w:pPr>
      <w:r>
        <w:separator/>
      </w:r>
    </w:p>
  </w:endnote>
  <w:endnote w:type="continuationSeparator" w:id="0">
    <w:p w14:paraId="1DBC4BAF" w14:textId="77777777" w:rsidR="002A55D4" w:rsidRDefault="002A55D4" w:rsidP="00AD6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Italic">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1360381"/>
      <w:docPartObj>
        <w:docPartGallery w:val="Page Numbers (Bottom of Page)"/>
        <w:docPartUnique/>
      </w:docPartObj>
    </w:sdtPr>
    <w:sdtEndPr>
      <w:rPr>
        <w:noProof/>
      </w:rPr>
    </w:sdtEndPr>
    <w:sdtContent>
      <w:p w14:paraId="7D4E14CD" w14:textId="6B6CFEF4" w:rsidR="00C0392B" w:rsidRDefault="00C0392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5C98C91" w14:textId="77777777" w:rsidR="00C0392B" w:rsidRDefault="00C03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5B211F" w14:textId="77777777" w:rsidR="002A55D4" w:rsidRDefault="002A55D4" w:rsidP="00AD6704">
      <w:pPr>
        <w:spacing w:after="0" w:line="240" w:lineRule="auto"/>
      </w:pPr>
      <w:r>
        <w:separator/>
      </w:r>
    </w:p>
  </w:footnote>
  <w:footnote w:type="continuationSeparator" w:id="0">
    <w:p w14:paraId="2BD2C246" w14:textId="77777777" w:rsidR="002A55D4" w:rsidRDefault="002A55D4" w:rsidP="00AD67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C564EA"/>
    <w:multiLevelType w:val="hybridMultilevel"/>
    <w:tmpl w:val="79842A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64B48C3"/>
    <w:multiLevelType w:val="hybridMultilevel"/>
    <w:tmpl w:val="4C748A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1F7180C"/>
    <w:multiLevelType w:val="hybridMultilevel"/>
    <w:tmpl w:val="75C6CE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DF2784D"/>
    <w:multiLevelType w:val="hybridMultilevel"/>
    <w:tmpl w:val="CB4E2B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F5D3234"/>
    <w:multiLevelType w:val="hybridMultilevel"/>
    <w:tmpl w:val="819E0EF8"/>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CBE0EA3"/>
    <w:multiLevelType w:val="hybridMultilevel"/>
    <w:tmpl w:val="5E6CDC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F777A72"/>
    <w:multiLevelType w:val="hybridMultilevel"/>
    <w:tmpl w:val="75F6DC8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72DC28E4"/>
    <w:multiLevelType w:val="hybridMultilevel"/>
    <w:tmpl w:val="C85E66E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4"/>
  </w:num>
  <w:num w:numId="3">
    <w:abstractNumId w:val="7"/>
  </w:num>
  <w:num w:numId="4">
    <w:abstractNumId w:val="3"/>
  </w:num>
  <w:num w:numId="5">
    <w:abstractNumId w:val="1"/>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5E3"/>
    <w:rsid w:val="0001408B"/>
    <w:rsid w:val="0004370B"/>
    <w:rsid w:val="00047959"/>
    <w:rsid w:val="00086F55"/>
    <w:rsid w:val="000B37DE"/>
    <w:rsid w:val="000C0DA0"/>
    <w:rsid w:val="000E2B42"/>
    <w:rsid w:val="001563CB"/>
    <w:rsid w:val="00177ECB"/>
    <w:rsid w:val="001929D8"/>
    <w:rsid w:val="00194BA0"/>
    <w:rsid w:val="00195473"/>
    <w:rsid w:val="0020069C"/>
    <w:rsid w:val="00233250"/>
    <w:rsid w:val="0028612A"/>
    <w:rsid w:val="002864BA"/>
    <w:rsid w:val="002969CE"/>
    <w:rsid w:val="002A55D4"/>
    <w:rsid w:val="002D6241"/>
    <w:rsid w:val="002F6904"/>
    <w:rsid w:val="0036015A"/>
    <w:rsid w:val="00361F97"/>
    <w:rsid w:val="00372A2B"/>
    <w:rsid w:val="00470753"/>
    <w:rsid w:val="004716F5"/>
    <w:rsid w:val="00471920"/>
    <w:rsid w:val="0049272E"/>
    <w:rsid w:val="00496AAF"/>
    <w:rsid w:val="004C3E24"/>
    <w:rsid w:val="004C79FE"/>
    <w:rsid w:val="004E527C"/>
    <w:rsid w:val="004F4125"/>
    <w:rsid w:val="00546B0E"/>
    <w:rsid w:val="00572E08"/>
    <w:rsid w:val="00590B12"/>
    <w:rsid w:val="00591C7E"/>
    <w:rsid w:val="00597DAA"/>
    <w:rsid w:val="005B549C"/>
    <w:rsid w:val="005D5EF8"/>
    <w:rsid w:val="00612A99"/>
    <w:rsid w:val="006A7B5B"/>
    <w:rsid w:val="006B72F6"/>
    <w:rsid w:val="00716ACE"/>
    <w:rsid w:val="00730D84"/>
    <w:rsid w:val="00754BF1"/>
    <w:rsid w:val="007644FF"/>
    <w:rsid w:val="0077626D"/>
    <w:rsid w:val="007771BB"/>
    <w:rsid w:val="00790E50"/>
    <w:rsid w:val="00792FB1"/>
    <w:rsid w:val="007B3877"/>
    <w:rsid w:val="007E0F1E"/>
    <w:rsid w:val="00857EB2"/>
    <w:rsid w:val="0086020B"/>
    <w:rsid w:val="0088332D"/>
    <w:rsid w:val="008A09EC"/>
    <w:rsid w:val="008B5DBC"/>
    <w:rsid w:val="008E21E3"/>
    <w:rsid w:val="009049C4"/>
    <w:rsid w:val="00914037"/>
    <w:rsid w:val="00957C20"/>
    <w:rsid w:val="00965539"/>
    <w:rsid w:val="00967E35"/>
    <w:rsid w:val="009A7A3A"/>
    <w:rsid w:val="00A13A35"/>
    <w:rsid w:val="00A26B89"/>
    <w:rsid w:val="00A374A1"/>
    <w:rsid w:val="00A5258E"/>
    <w:rsid w:val="00A54B4C"/>
    <w:rsid w:val="00A7044F"/>
    <w:rsid w:val="00A70F4C"/>
    <w:rsid w:val="00AB58BF"/>
    <w:rsid w:val="00AD6704"/>
    <w:rsid w:val="00AE2F13"/>
    <w:rsid w:val="00AE306A"/>
    <w:rsid w:val="00B224B6"/>
    <w:rsid w:val="00B35714"/>
    <w:rsid w:val="00B3657A"/>
    <w:rsid w:val="00BB0228"/>
    <w:rsid w:val="00BE0C40"/>
    <w:rsid w:val="00C0392B"/>
    <w:rsid w:val="00C215E3"/>
    <w:rsid w:val="00C266C3"/>
    <w:rsid w:val="00C377C2"/>
    <w:rsid w:val="00C57281"/>
    <w:rsid w:val="00C6774F"/>
    <w:rsid w:val="00C829A7"/>
    <w:rsid w:val="00CA03AE"/>
    <w:rsid w:val="00CF678F"/>
    <w:rsid w:val="00D9621E"/>
    <w:rsid w:val="00DA786E"/>
    <w:rsid w:val="00E50722"/>
    <w:rsid w:val="00E6084E"/>
    <w:rsid w:val="00E73BF5"/>
    <w:rsid w:val="00E97239"/>
    <w:rsid w:val="00EB0500"/>
    <w:rsid w:val="00EB7B4B"/>
    <w:rsid w:val="00EF0DC4"/>
    <w:rsid w:val="00EF7929"/>
    <w:rsid w:val="00F37FC6"/>
    <w:rsid w:val="00F45991"/>
    <w:rsid w:val="00F57651"/>
    <w:rsid w:val="00FD51CD"/>
    <w:rsid w:val="00FE7241"/>
    <w:rsid w:val="00FF791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F0CA0"/>
  <w15:chartTrackingRefBased/>
  <w15:docId w15:val="{5953AA6C-108E-4E9A-898A-7F9E3D246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67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6704"/>
  </w:style>
  <w:style w:type="paragraph" w:styleId="Footer">
    <w:name w:val="footer"/>
    <w:basedOn w:val="Normal"/>
    <w:link w:val="FooterChar"/>
    <w:uiPriority w:val="99"/>
    <w:unhideWhenUsed/>
    <w:rsid w:val="00AD67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6704"/>
  </w:style>
  <w:style w:type="paragraph" w:styleId="ListParagraph">
    <w:name w:val="List Paragraph"/>
    <w:basedOn w:val="Normal"/>
    <w:uiPriority w:val="34"/>
    <w:qFormat/>
    <w:rsid w:val="00914037"/>
    <w:pPr>
      <w:ind w:left="720"/>
      <w:contextualSpacing/>
    </w:pPr>
  </w:style>
  <w:style w:type="character" w:styleId="Hyperlink">
    <w:name w:val="Hyperlink"/>
    <w:basedOn w:val="DefaultParagraphFont"/>
    <w:uiPriority w:val="99"/>
    <w:semiHidden/>
    <w:unhideWhenUsed/>
    <w:rsid w:val="00914037"/>
    <w:rPr>
      <w:color w:val="0000FF"/>
      <w:u w:val="single"/>
    </w:rPr>
  </w:style>
  <w:style w:type="paragraph" w:customStyle="1" w:styleId="TableParagraph">
    <w:name w:val="Table Paragraph"/>
    <w:basedOn w:val="Normal"/>
    <w:uiPriority w:val="1"/>
    <w:qFormat/>
    <w:rsid w:val="002D6241"/>
    <w:pPr>
      <w:autoSpaceDE w:val="0"/>
      <w:autoSpaceDN w:val="0"/>
      <w:adjustRightInd w:val="0"/>
      <w:spacing w:before="1" w:after="0" w:line="240" w:lineRule="auto"/>
      <w:ind w:left="215"/>
      <w:jc w:val="center"/>
    </w:pPr>
    <w:rPr>
      <w:rFonts w:ascii="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cusonvictoria.ca/forests/26/"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1D0CE2-3F72-4E10-A629-4622012A7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11</Pages>
  <Words>3499</Words>
  <Characters>19946</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Watts</dc:creator>
  <cp:keywords/>
  <dc:description/>
  <cp:lastModifiedBy>Martin Watts</cp:lastModifiedBy>
  <cp:revision>6</cp:revision>
  <dcterms:created xsi:type="dcterms:W3CDTF">2021-03-18T19:28:00Z</dcterms:created>
  <dcterms:modified xsi:type="dcterms:W3CDTF">2021-03-18T19:35:00Z</dcterms:modified>
</cp:coreProperties>
</file>